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D72FF" w14:textId="7463CBAA" w:rsidR="00FA37C7" w:rsidRDefault="00BA6E74" w:rsidP="00B75ADE">
      <w:pPr>
        <w:jc w:val="center"/>
      </w:pPr>
      <w:r>
        <w:t xml:space="preserve">  </w:t>
      </w:r>
      <w:r w:rsidR="00B75ADE">
        <w:rPr>
          <w:noProof/>
        </w:rPr>
        <w:drawing>
          <wp:inline distT="0" distB="0" distL="0" distR="0" wp14:anchorId="6D11435A" wp14:editId="61FF209F">
            <wp:extent cx="1182965" cy="1182965"/>
            <wp:effectExtent l="0" t="0" r="0" b="0"/>
            <wp:docPr id="454839894" name="Picture 1" descr="A logo with a moon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839894" name="Picture 1" descr="A logo with a moon and star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1387" cy="1251387"/>
                    </a:xfrm>
                    <a:prstGeom prst="rect">
                      <a:avLst/>
                    </a:prstGeom>
                  </pic:spPr>
                </pic:pic>
              </a:graphicData>
            </a:graphic>
          </wp:inline>
        </w:drawing>
      </w:r>
    </w:p>
    <w:p w14:paraId="5ECC0E44" w14:textId="77777777" w:rsidR="00D47A7F" w:rsidRDefault="00D47A7F" w:rsidP="00B75ADE">
      <w:pPr>
        <w:jc w:val="center"/>
        <w:rPr>
          <w:b/>
          <w:bCs/>
          <w:sz w:val="28"/>
          <w:szCs w:val="28"/>
        </w:rPr>
      </w:pPr>
    </w:p>
    <w:p w14:paraId="2934ADD0" w14:textId="1D17E51C" w:rsidR="00B75ADE" w:rsidRPr="00AB0AE5" w:rsidRDefault="00B75ADE" w:rsidP="00B75ADE">
      <w:pPr>
        <w:jc w:val="center"/>
        <w:rPr>
          <w:b/>
          <w:bCs/>
          <w:color w:val="E97132" w:themeColor="accent2"/>
          <w:sz w:val="28"/>
          <w:szCs w:val="28"/>
        </w:rPr>
      </w:pPr>
      <w:r w:rsidRPr="00AB0AE5">
        <w:rPr>
          <w:b/>
          <w:bCs/>
          <w:color w:val="E97132" w:themeColor="accent2"/>
          <w:sz w:val="28"/>
          <w:szCs w:val="28"/>
        </w:rPr>
        <w:t xml:space="preserve">Fee Sheet </w:t>
      </w:r>
      <w:r w:rsidR="00D553CE" w:rsidRPr="00AB0AE5">
        <w:rPr>
          <w:b/>
          <w:bCs/>
          <w:color w:val="E97132" w:themeColor="accent2"/>
          <w:sz w:val="28"/>
          <w:szCs w:val="28"/>
        </w:rPr>
        <w:t xml:space="preserve">September </w:t>
      </w:r>
      <w:r w:rsidRPr="00AB0AE5">
        <w:rPr>
          <w:b/>
          <w:bCs/>
          <w:color w:val="E97132" w:themeColor="accent2"/>
          <w:sz w:val="28"/>
          <w:szCs w:val="28"/>
        </w:rPr>
        <w:t>202</w:t>
      </w:r>
      <w:r w:rsidR="00805162" w:rsidRPr="00AB0AE5">
        <w:rPr>
          <w:b/>
          <w:bCs/>
          <w:color w:val="E97132" w:themeColor="accent2"/>
          <w:sz w:val="28"/>
          <w:szCs w:val="28"/>
        </w:rPr>
        <w:t>5</w:t>
      </w:r>
      <w:r w:rsidR="00D553CE" w:rsidRPr="00AB0AE5">
        <w:rPr>
          <w:b/>
          <w:bCs/>
          <w:color w:val="E97132" w:themeColor="accent2"/>
          <w:sz w:val="28"/>
          <w:szCs w:val="28"/>
        </w:rPr>
        <w:t xml:space="preserve"> – March 2026</w:t>
      </w:r>
    </w:p>
    <w:p w14:paraId="425B5F4F" w14:textId="77777777" w:rsidR="00B75ADE" w:rsidRDefault="00B75ADE" w:rsidP="00B75ADE">
      <w:pPr>
        <w:jc w:val="center"/>
      </w:pPr>
    </w:p>
    <w:p w14:paraId="6A516E71" w14:textId="77777777" w:rsidR="00D47A7F" w:rsidRDefault="00D47A7F" w:rsidP="00B75ADE">
      <w:pPr>
        <w:rPr>
          <w:b/>
          <w:bCs/>
          <w:sz w:val="22"/>
          <w:szCs w:val="22"/>
        </w:rPr>
      </w:pPr>
    </w:p>
    <w:p w14:paraId="2ABF551B" w14:textId="12B34676" w:rsidR="00B75ADE" w:rsidRDefault="00B75ADE" w:rsidP="00B75ADE">
      <w:r w:rsidRPr="00AB0AE5">
        <w:rPr>
          <w:b/>
          <w:bCs/>
          <w:color w:val="E97132" w:themeColor="accent2"/>
        </w:rPr>
        <w:t>Opening Hours:</w:t>
      </w:r>
      <w:r w:rsidRPr="00693480">
        <w:tab/>
      </w:r>
      <w:r w:rsidR="00F612CE">
        <w:t>7</w:t>
      </w:r>
      <w:r w:rsidRPr="00693480">
        <w:t xml:space="preserve">:00am to </w:t>
      </w:r>
      <w:r w:rsidR="00F612CE">
        <w:t>6</w:t>
      </w:r>
      <w:r w:rsidRPr="00693480">
        <w:t>:00pm</w:t>
      </w:r>
    </w:p>
    <w:p w14:paraId="5D7AEB15" w14:textId="51B1952D" w:rsidR="00B75ADE" w:rsidRDefault="00B75ADE" w:rsidP="00B75ADE">
      <w:r w:rsidRPr="00AB0AE5">
        <w:rPr>
          <w:b/>
          <w:bCs/>
          <w:color w:val="E97132" w:themeColor="accent2"/>
        </w:rPr>
        <w:t>Opening Days:</w:t>
      </w:r>
      <w:r w:rsidRPr="00693480">
        <w:tab/>
        <w:t>Monday to Friday</w:t>
      </w:r>
    </w:p>
    <w:p w14:paraId="665C130E" w14:textId="77777777" w:rsidR="005A0909" w:rsidRPr="00693480" w:rsidRDefault="005A0909" w:rsidP="00B75ADE"/>
    <w:p w14:paraId="5436BB9C" w14:textId="77777777" w:rsidR="00D553CE" w:rsidRDefault="00B75ADE" w:rsidP="00B75ADE">
      <w:r w:rsidRPr="00AB0AE5">
        <w:rPr>
          <w:b/>
          <w:bCs/>
          <w:color w:val="E97132" w:themeColor="accent2"/>
        </w:rPr>
        <w:t xml:space="preserve">Operational </w:t>
      </w:r>
      <w:r w:rsidR="00D553CE" w:rsidRPr="00AB0AE5">
        <w:rPr>
          <w:b/>
          <w:bCs/>
          <w:color w:val="E97132" w:themeColor="accent2"/>
        </w:rPr>
        <w:t xml:space="preserve">Hours and </w:t>
      </w:r>
      <w:r w:rsidRPr="00AB0AE5">
        <w:rPr>
          <w:b/>
          <w:bCs/>
          <w:color w:val="E97132" w:themeColor="accent2"/>
        </w:rPr>
        <w:t>Weeks:</w:t>
      </w:r>
      <w:r w:rsidRPr="00693480">
        <w:tab/>
      </w:r>
    </w:p>
    <w:p w14:paraId="2877A3C4" w14:textId="74621AA8" w:rsidR="00D553CE" w:rsidRPr="00AB0AE5" w:rsidRDefault="007B64D0" w:rsidP="00B75ADE">
      <w:pPr>
        <w:rPr>
          <w:rFonts w:cs="Arial"/>
          <w:color w:val="0B1A3B"/>
          <w:shd w:val="clear" w:color="auto" w:fill="FFFFFF"/>
        </w:rPr>
      </w:pPr>
      <w:r w:rsidRPr="00693480">
        <w:t>We have a minimum of 2 full days attendance</w:t>
      </w:r>
      <w:r w:rsidR="00D553CE">
        <w:t xml:space="preserve"> one of which must be a Monday or a Friday</w:t>
      </w:r>
      <w:r w:rsidRPr="00693480">
        <w:t xml:space="preserve">. </w:t>
      </w:r>
      <w:r w:rsidR="00B75ADE" w:rsidRPr="00693480">
        <w:t xml:space="preserve">The nursery is open all year </w:t>
      </w:r>
      <w:r w:rsidR="00F612CE">
        <w:t>7</w:t>
      </w:r>
      <w:r w:rsidR="00D553CE">
        <w:t xml:space="preserve">:00am – </w:t>
      </w:r>
      <w:r w:rsidR="00F612CE">
        <w:t>6</w:t>
      </w:r>
      <w:r w:rsidR="00D553CE">
        <w:t xml:space="preserve">:00pm </w:t>
      </w:r>
      <w:r w:rsidR="00B75ADE" w:rsidRPr="00693480">
        <w:t>apart from Bank holidays</w:t>
      </w:r>
      <w:r w:rsidR="00AB0AE5">
        <w:t xml:space="preserve"> (Bank holidays are still chargeable, if that’s your child’s normal booked day)</w:t>
      </w:r>
      <w:r w:rsidR="00B75ADE" w:rsidRPr="00693480">
        <w:t xml:space="preserve">, </w:t>
      </w:r>
      <w:r w:rsidR="00E55418" w:rsidRPr="00693480">
        <w:t xml:space="preserve">and </w:t>
      </w:r>
      <w:r w:rsidR="00B75ADE" w:rsidRPr="00693480">
        <w:t>a week at Christmas</w:t>
      </w:r>
      <w:r w:rsidR="00D553CE">
        <w:t xml:space="preserve">. </w:t>
      </w:r>
    </w:p>
    <w:p w14:paraId="6F3EBFEC" w14:textId="77777777" w:rsidR="00D553CE" w:rsidRPr="00AB0AE5" w:rsidRDefault="00D553CE" w:rsidP="00B75ADE">
      <w:pPr>
        <w:rPr>
          <w:rFonts w:cs="Arial"/>
          <w:color w:val="0B1A3B"/>
          <w:shd w:val="clear" w:color="auto" w:fill="FFFFFF"/>
        </w:rPr>
      </w:pPr>
    </w:p>
    <w:p w14:paraId="320B965D" w14:textId="3B7BEBFE" w:rsidR="00AB0AE5" w:rsidRDefault="007B64D0" w:rsidP="00B75ADE">
      <w:pPr>
        <w:rPr>
          <w:rFonts w:cs="Arial"/>
          <w:color w:val="0B1A3B"/>
          <w:shd w:val="clear" w:color="auto" w:fill="FFFFFF"/>
        </w:rPr>
      </w:pPr>
      <w:r w:rsidRPr="00AB0AE5">
        <w:rPr>
          <w:rFonts w:cs="Arial"/>
          <w:color w:val="0B1A3B"/>
          <w:shd w:val="clear" w:color="auto" w:fill="FFFFFF"/>
        </w:rPr>
        <w:t xml:space="preserve">Whilst the Government funding is structured for 38 weeks of the year (term time), Sarah’s Little Stars </w:t>
      </w:r>
      <w:r w:rsidR="00AB0AE5">
        <w:rPr>
          <w:rFonts w:cs="Arial"/>
          <w:color w:val="0B1A3B"/>
          <w:shd w:val="clear" w:color="auto" w:fill="FFFFFF"/>
        </w:rPr>
        <w:t>is</w:t>
      </w:r>
      <w:r w:rsidRPr="00AB0AE5">
        <w:rPr>
          <w:rFonts w:cs="Arial"/>
          <w:color w:val="0B1A3B"/>
          <w:shd w:val="clear" w:color="auto" w:fill="FFFFFF"/>
        </w:rPr>
        <w:t xml:space="preserve"> open for 51 weeks of the year therefore the funded hours are stretched over the weeks that we are open</w:t>
      </w:r>
      <w:r w:rsidR="00AB0AE5">
        <w:rPr>
          <w:rFonts w:cs="Arial"/>
          <w:color w:val="0B1A3B"/>
          <w:shd w:val="clear" w:color="auto" w:fill="FFFFFF"/>
        </w:rPr>
        <w:t>, please note funding is capped at 48weeks a year.</w:t>
      </w:r>
      <w:r w:rsidR="00E21E0B" w:rsidRPr="00AB0AE5">
        <w:rPr>
          <w:rFonts w:cs="Arial"/>
          <w:color w:val="0B1A3B"/>
          <w:shd w:val="clear" w:color="auto" w:fill="FFFFFF"/>
        </w:rPr>
        <w:t xml:space="preserve"> </w:t>
      </w:r>
    </w:p>
    <w:p w14:paraId="2EF4692A" w14:textId="162256F5" w:rsidR="00AB0AE5" w:rsidRDefault="00AB0AE5" w:rsidP="00B75ADE">
      <w:pPr>
        <w:rPr>
          <w:rFonts w:cs="Arial"/>
          <w:color w:val="0B1A3B"/>
          <w:shd w:val="clear" w:color="auto" w:fill="FFFFFF"/>
        </w:rPr>
      </w:pPr>
      <w:r>
        <w:rPr>
          <w:rFonts w:cs="Arial"/>
          <w:color w:val="0B1A3B"/>
          <w:shd w:val="clear" w:color="auto" w:fill="FFFFFF"/>
        </w:rPr>
        <w:t>If your using funding over 38 weeks of the year (term time) then your will receive 30 hours a week</w:t>
      </w:r>
      <w:r w:rsidR="00CB457B">
        <w:rPr>
          <w:rFonts w:cs="Arial"/>
          <w:color w:val="0B1A3B"/>
          <w:shd w:val="clear" w:color="auto" w:fill="FFFFFF"/>
        </w:rPr>
        <w:t xml:space="preserve"> and will follow the KCC Calander for term dates</w:t>
      </w:r>
      <w:r>
        <w:rPr>
          <w:rFonts w:cs="Arial"/>
          <w:color w:val="0B1A3B"/>
          <w:shd w:val="clear" w:color="auto" w:fill="FFFFFF"/>
        </w:rPr>
        <w:t>, if your using funding stretched across the year over 48 weeks, you will receive 22 hours funding</w:t>
      </w:r>
      <w:r w:rsidR="00CB457B">
        <w:rPr>
          <w:rFonts w:cs="Arial"/>
          <w:color w:val="0B1A3B"/>
          <w:shd w:val="clear" w:color="auto" w:fill="FFFFFF"/>
        </w:rPr>
        <w:t xml:space="preserve"> per week</w:t>
      </w:r>
      <w:r>
        <w:rPr>
          <w:rFonts w:cs="Arial"/>
          <w:color w:val="0B1A3B"/>
          <w:shd w:val="clear" w:color="auto" w:fill="FFFFFF"/>
        </w:rPr>
        <w:t xml:space="preserve">, </w:t>
      </w:r>
    </w:p>
    <w:p w14:paraId="68AB73CE" w14:textId="3173BED0" w:rsidR="00D553CE" w:rsidRDefault="00AB0AE5" w:rsidP="00B75ADE">
      <w:pPr>
        <w:rPr>
          <w:rFonts w:cs="Arial"/>
          <w:color w:val="0B1A3B"/>
          <w:shd w:val="clear" w:color="auto" w:fill="FFFFFF"/>
        </w:rPr>
      </w:pPr>
      <w:r>
        <w:rPr>
          <w:rFonts w:cs="Arial"/>
          <w:color w:val="0B1A3B"/>
          <w:shd w:val="clear" w:color="auto" w:fill="FFFFFF"/>
        </w:rPr>
        <w:t>P</w:t>
      </w:r>
      <w:r w:rsidR="00D553CE" w:rsidRPr="00AB0AE5">
        <w:rPr>
          <w:rFonts w:cs="Arial"/>
          <w:color w:val="0B1A3B"/>
          <w:shd w:val="clear" w:color="auto" w:fill="FFFFFF"/>
        </w:rPr>
        <w:t>lease note there is a mandatory five-day attendance for term time</w:t>
      </w:r>
      <w:r>
        <w:rPr>
          <w:rFonts w:cs="Arial"/>
          <w:color w:val="0B1A3B"/>
          <w:shd w:val="clear" w:color="auto" w:fill="FFFFFF"/>
        </w:rPr>
        <w:t xml:space="preserve"> only</w:t>
      </w:r>
      <w:r w:rsidR="007B64D0" w:rsidRPr="00AB0AE5">
        <w:rPr>
          <w:rFonts w:cs="Arial"/>
          <w:color w:val="0B1A3B"/>
          <w:shd w:val="clear" w:color="auto" w:fill="FFFFFF"/>
        </w:rPr>
        <w:t>.</w:t>
      </w:r>
      <w:r w:rsidR="00693480" w:rsidRPr="00693480">
        <w:rPr>
          <w:rFonts w:cs="Arial"/>
          <w:color w:val="0B1A3B"/>
          <w:shd w:val="clear" w:color="auto" w:fill="FFFFFF"/>
        </w:rPr>
        <w:t xml:space="preserve"> </w:t>
      </w:r>
    </w:p>
    <w:p w14:paraId="0A973696" w14:textId="77777777" w:rsidR="00D553CE" w:rsidRDefault="00D553CE" w:rsidP="00B75ADE">
      <w:pPr>
        <w:rPr>
          <w:rFonts w:cs="Arial"/>
          <w:color w:val="0B1A3B"/>
          <w:shd w:val="clear" w:color="auto" w:fill="FFFFFF"/>
        </w:rPr>
      </w:pPr>
    </w:p>
    <w:p w14:paraId="292183D8" w14:textId="69CC1BCA" w:rsidR="00D553CE" w:rsidRDefault="00693480" w:rsidP="00B75ADE">
      <w:pPr>
        <w:rPr>
          <w:rFonts w:cs="Arial"/>
          <w:color w:val="0B1A3B"/>
          <w:shd w:val="clear" w:color="auto" w:fill="FFFFFF"/>
        </w:rPr>
      </w:pPr>
      <w:r w:rsidRPr="00693480">
        <w:rPr>
          <w:rFonts w:cs="Arial"/>
          <w:color w:val="000000"/>
        </w:rPr>
        <w:t>There is no charge for</w:t>
      </w:r>
      <w:r w:rsidR="00D553CE">
        <w:rPr>
          <w:rFonts w:cs="Arial"/>
          <w:color w:val="000000"/>
        </w:rPr>
        <w:t xml:space="preserve"> the </w:t>
      </w:r>
      <w:r w:rsidRPr="00693480">
        <w:rPr>
          <w:rFonts w:cs="Arial"/>
          <w:color w:val="000000"/>
        </w:rPr>
        <w:t>15 hours Universal or 30 hours WPE</w:t>
      </w:r>
      <w:r w:rsidRPr="00693480">
        <w:rPr>
          <w:rFonts w:cs="Arial"/>
          <w:color w:val="0B1A3B"/>
          <w:shd w:val="clear" w:color="auto" w:fill="FFFFFF"/>
        </w:rPr>
        <w:t xml:space="preserve">. </w:t>
      </w:r>
    </w:p>
    <w:p w14:paraId="747E56A8" w14:textId="77777777" w:rsidR="00D553CE" w:rsidRDefault="00D553CE" w:rsidP="00B75ADE">
      <w:pPr>
        <w:rPr>
          <w:rFonts w:cs="Arial"/>
          <w:color w:val="0B1A3B"/>
          <w:shd w:val="clear" w:color="auto" w:fill="FFFFFF"/>
        </w:rPr>
      </w:pPr>
    </w:p>
    <w:p w14:paraId="17E58022" w14:textId="3E6EC4E1" w:rsidR="00230C14" w:rsidRPr="00693480" w:rsidRDefault="00EA2B96" w:rsidP="00B75ADE">
      <w:pPr>
        <w:rPr>
          <w:rFonts w:cs="Arial"/>
          <w:color w:val="0B1A3B"/>
          <w:shd w:val="clear" w:color="auto" w:fill="FFFFFF"/>
        </w:rPr>
      </w:pPr>
      <w:r w:rsidRPr="00693480">
        <w:rPr>
          <w:rFonts w:cs="Gill Sans"/>
          <w:color w:val="000000"/>
        </w:rPr>
        <w:t>The cost of the non-funded hourly rate is £9.</w:t>
      </w:r>
      <w:r w:rsidR="00D553CE">
        <w:rPr>
          <w:rFonts w:cs="Gill Sans"/>
          <w:color w:val="000000"/>
        </w:rPr>
        <w:t>75</w:t>
      </w:r>
      <w:r w:rsidRPr="00693480">
        <w:rPr>
          <w:rFonts w:cs="Gill Sans"/>
          <w:color w:val="000000"/>
        </w:rPr>
        <w:t>.</w:t>
      </w:r>
      <w:r w:rsidR="00230C14" w:rsidRPr="00693480">
        <w:rPr>
          <w:rFonts w:cs="Arial"/>
          <w:color w:val="0B1A3B"/>
          <w:shd w:val="clear" w:color="auto" w:fill="FFFFFF"/>
        </w:rPr>
        <w:t xml:space="preserve"> Once we have claimed your </w:t>
      </w:r>
      <w:r w:rsidRPr="00693480">
        <w:rPr>
          <w:rFonts w:cs="Arial"/>
          <w:color w:val="0B1A3B"/>
          <w:shd w:val="clear" w:color="auto" w:fill="FFFFFF"/>
        </w:rPr>
        <w:t>funding</w:t>
      </w:r>
      <w:r w:rsidR="00AB0AE5">
        <w:rPr>
          <w:rFonts w:cs="Arial"/>
          <w:color w:val="0B1A3B"/>
          <w:shd w:val="clear" w:color="auto" w:fill="FFFFFF"/>
        </w:rPr>
        <w:t xml:space="preserve"> in headcount week</w:t>
      </w:r>
      <w:r w:rsidRPr="00693480">
        <w:rPr>
          <w:rFonts w:cs="Arial"/>
          <w:color w:val="0B1A3B"/>
          <w:shd w:val="clear" w:color="auto" w:fill="FFFFFF"/>
        </w:rPr>
        <w:t>,</w:t>
      </w:r>
      <w:r w:rsidR="00230C14" w:rsidRPr="00693480">
        <w:rPr>
          <w:rFonts w:cs="Arial"/>
          <w:color w:val="0B1A3B"/>
          <w:shd w:val="clear" w:color="auto" w:fill="FFFFFF"/>
        </w:rPr>
        <w:t xml:space="preserve"> we are unable to transfer it to another setting as we will have allocated staffing and ratios for that term.</w:t>
      </w:r>
      <w:r w:rsidR="00AB0AE5">
        <w:rPr>
          <w:rFonts w:cs="Arial"/>
          <w:color w:val="0B1A3B"/>
          <w:shd w:val="clear" w:color="auto" w:fill="FFFFFF"/>
        </w:rPr>
        <w:t xml:space="preserve"> We will also not transfer funding if you are given notice for yours (the parents) or your child’s conduct</w:t>
      </w:r>
      <w:r w:rsidR="00CB457B">
        <w:rPr>
          <w:rFonts w:cs="Arial"/>
          <w:color w:val="0B1A3B"/>
          <w:shd w:val="clear" w:color="auto" w:fill="FFFFFF"/>
        </w:rPr>
        <w:t>.</w:t>
      </w:r>
    </w:p>
    <w:p w14:paraId="0A5CA65D" w14:textId="18FA8385" w:rsidR="00B75ADE" w:rsidRPr="00693480" w:rsidRDefault="00B75ADE" w:rsidP="00B75ADE"/>
    <w:p w14:paraId="42930F57" w14:textId="24BFED17" w:rsidR="00AB0AE5" w:rsidRPr="005461A0" w:rsidRDefault="00B75ADE" w:rsidP="00AB0AE5">
      <w:pPr>
        <w:rPr>
          <w:sz w:val="22"/>
          <w:szCs w:val="22"/>
        </w:rPr>
      </w:pPr>
      <w:r w:rsidRPr="00AB0AE5">
        <w:rPr>
          <w:color w:val="E97132" w:themeColor="accent2"/>
        </w:rPr>
        <w:t xml:space="preserve">Deposit: </w:t>
      </w:r>
      <w:r w:rsidR="00F612CE" w:rsidRPr="00F612CE">
        <w:rPr>
          <w:color w:val="000000" w:themeColor="text1"/>
        </w:rPr>
        <w:t>is</w:t>
      </w:r>
      <w:r w:rsidR="00F612CE">
        <w:rPr>
          <w:color w:val="E97132" w:themeColor="accent2"/>
        </w:rPr>
        <w:t xml:space="preserve"> </w:t>
      </w:r>
      <w:r w:rsidRPr="00693480">
        <w:t>£3</w:t>
      </w:r>
      <w:r w:rsidR="00435773" w:rsidRPr="00693480">
        <w:t>5</w:t>
      </w:r>
      <w:r w:rsidRPr="00693480">
        <w:t>0.00</w:t>
      </w:r>
      <w:r w:rsidR="00F612CE">
        <w:t xml:space="preserve">. £300 of </w:t>
      </w:r>
      <w:r w:rsidR="00F612CE" w:rsidRPr="00693480">
        <w:t>this</w:t>
      </w:r>
      <w:r w:rsidR="00435773" w:rsidRPr="00693480">
        <w:t xml:space="preserve"> will be deducted from your </w:t>
      </w:r>
      <w:r w:rsidR="00BF0C75">
        <w:t>final</w:t>
      </w:r>
      <w:r w:rsidR="00435773" w:rsidRPr="00693480">
        <w:t xml:space="preserve"> invoice</w:t>
      </w:r>
      <w:r w:rsidR="00F612CE">
        <w:t xml:space="preserve"> and £50 is kept as an admin fee</w:t>
      </w:r>
      <w:r w:rsidR="00AB0AE5">
        <w:t xml:space="preserve">. </w:t>
      </w:r>
      <w:r w:rsidR="00AB0AE5">
        <w:rPr>
          <w:sz w:val="22"/>
          <w:szCs w:val="22"/>
        </w:rPr>
        <w:t>Please note, if you chose to retract your place prior to starting with Sarah’s little Stars the deposit is non-refundable.</w:t>
      </w:r>
    </w:p>
    <w:p w14:paraId="41A103A5" w14:textId="1EC04DF1" w:rsidR="00E418CA" w:rsidRPr="00693480" w:rsidRDefault="00E418CA" w:rsidP="00B75ADE"/>
    <w:p w14:paraId="0A7BFB34" w14:textId="20AC2BD6" w:rsidR="00F612CE" w:rsidRPr="00F612CE" w:rsidRDefault="00E418CA" w:rsidP="00693480">
      <w:r w:rsidRPr="00693480">
        <w:t>This deposit does not apply to those in receipt of a fully funded space.</w:t>
      </w:r>
      <w:r w:rsidR="00693480" w:rsidRPr="00693480">
        <w:t xml:space="preserve"> </w:t>
      </w:r>
    </w:p>
    <w:p w14:paraId="7234EDF0" w14:textId="77777777" w:rsidR="00D553CE" w:rsidRDefault="00D553CE" w:rsidP="00693480">
      <w:pPr>
        <w:rPr>
          <w:b/>
          <w:bCs/>
          <w:color w:val="F1A983" w:themeColor="accent2" w:themeTint="99"/>
          <w:u w:val="single"/>
        </w:rPr>
      </w:pPr>
    </w:p>
    <w:p w14:paraId="7BE77772" w14:textId="2E80F83C" w:rsidR="00F612CE" w:rsidRDefault="00F612CE" w:rsidP="00693480">
      <w:pPr>
        <w:rPr>
          <w:b/>
          <w:bCs/>
          <w:color w:val="F1A983" w:themeColor="accent2" w:themeTint="99"/>
          <w:u w:val="single"/>
        </w:rPr>
      </w:pPr>
    </w:p>
    <w:p w14:paraId="60B36FF9" w14:textId="77777777" w:rsidR="00F612CE" w:rsidRDefault="00F612CE" w:rsidP="00693480">
      <w:pPr>
        <w:rPr>
          <w:b/>
          <w:bCs/>
          <w:color w:val="F1A983" w:themeColor="accent2" w:themeTint="99"/>
          <w:u w:val="single"/>
        </w:rPr>
      </w:pPr>
    </w:p>
    <w:p w14:paraId="29A6ED24" w14:textId="77777777" w:rsidR="00F612CE" w:rsidRDefault="00F612CE" w:rsidP="00693480">
      <w:pPr>
        <w:rPr>
          <w:b/>
          <w:bCs/>
          <w:color w:val="F1A983" w:themeColor="accent2" w:themeTint="99"/>
          <w:u w:val="single"/>
        </w:rPr>
      </w:pPr>
    </w:p>
    <w:p w14:paraId="65451B22" w14:textId="77777777" w:rsidR="00F612CE" w:rsidRDefault="00F612CE" w:rsidP="00693480">
      <w:pPr>
        <w:rPr>
          <w:b/>
          <w:bCs/>
          <w:color w:val="F1A983" w:themeColor="accent2" w:themeTint="99"/>
          <w:u w:val="single"/>
        </w:rPr>
      </w:pPr>
    </w:p>
    <w:p w14:paraId="4C0614D0" w14:textId="77777777" w:rsidR="00F612CE" w:rsidRDefault="00F612CE" w:rsidP="00693480">
      <w:pPr>
        <w:rPr>
          <w:b/>
          <w:bCs/>
          <w:color w:val="F1A983" w:themeColor="accent2" w:themeTint="99"/>
          <w:u w:val="single"/>
        </w:rPr>
      </w:pPr>
    </w:p>
    <w:p w14:paraId="1AE0976C" w14:textId="77777777" w:rsidR="00F612CE" w:rsidRDefault="00F612CE" w:rsidP="00693480">
      <w:pPr>
        <w:rPr>
          <w:b/>
          <w:bCs/>
          <w:color w:val="F1A983" w:themeColor="accent2" w:themeTint="99"/>
          <w:u w:val="single"/>
        </w:rPr>
      </w:pPr>
    </w:p>
    <w:p w14:paraId="01EB4688" w14:textId="77777777" w:rsidR="00AB0AE5" w:rsidRPr="00F612CE" w:rsidRDefault="00AB0AE5" w:rsidP="00AB0AE5">
      <w:pPr>
        <w:rPr>
          <w:b/>
          <w:bCs/>
          <w:color w:val="E97132" w:themeColor="accent2"/>
          <w:u w:val="single"/>
        </w:rPr>
      </w:pPr>
      <w:r w:rsidRPr="00F612CE">
        <w:rPr>
          <w:b/>
          <w:bCs/>
          <w:color w:val="E97132" w:themeColor="accent2"/>
          <w:u w:val="single"/>
        </w:rPr>
        <w:t>Standard Fees Per Month</w:t>
      </w:r>
    </w:p>
    <w:p w14:paraId="39FD8548" w14:textId="77777777" w:rsidR="00AB0AE5" w:rsidRDefault="00AB0AE5" w:rsidP="00AB0AE5">
      <w:pPr>
        <w:rPr>
          <w:i/>
          <w:iCs/>
        </w:rPr>
      </w:pPr>
    </w:p>
    <w:p w14:paraId="4DEEE5A3" w14:textId="77777777" w:rsidR="00AB0AE5" w:rsidRPr="00693480" w:rsidRDefault="00AB0AE5" w:rsidP="00AB0AE5">
      <w:pPr>
        <w:rPr>
          <w:i/>
          <w:iCs/>
        </w:rPr>
      </w:pPr>
      <w:r w:rsidRPr="00693480">
        <w:rPr>
          <w:i/>
          <w:iCs/>
        </w:rPr>
        <w:t>Before funding is applied</w:t>
      </w:r>
    </w:p>
    <w:p w14:paraId="4DACF0D3" w14:textId="77777777" w:rsidR="00D553CE" w:rsidRDefault="00D553CE" w:rsidP="00693480">
      <w:pPr>
        <w:rPr>
          <w:b/>
          <w:bCs/>
          <w:color w:val="F1A983" w:themeColor="accent2" w:themeTint="99"/>
          <w:u w:val="single"/>
        </w:rPr>
      </w:pPr>
    </w:p>
    <w:p w14:paraId="4F406DBC" w14:textId="77777777" w:rsidR="00D553CE" w:rsidRDefault="00D553CE" w:rsidP="00693480">
      <w:pPr>
        <w:rPr>
          <w:b/>
          <w:bCs/>
          <w:color w:val="F1A983" w:themeColor="accent2" w:themeTint="99"/>
          <w:u w:val="single"/>
        </w:rPr>
      </w:pPr>
    </w:p>
    <w:p w14:paraId="30612B8E" w14:textId="77777777" w:rsidR="00D553CE" w:rsidRDefault="00D553CE" w:rsidP="00693480">
      <w:pPr>
        <w:rPr>
          <w:b/>
          <w:bCs/>
          <w:color w:val="F1A983" w:themeColor="accent2" w:themeTint="99"/>
          <w:u w:val="single"/>
        </w:rPr>
      </w:pPr>
    </w:p>
    <w:p w14:paraId="7E578113" w14:textId="77777777" w:rsidR="00D553CE" w:rsidRDefault="00D553CE" w:rsidP="00693480">
      <w:pPr>
        <w:rPr>
          <w:i/>
          <w:iCs/>
        </w:rPr>
      </w:pPr>
    </w:p>
    <w:tbl>
      <w:tblPr>
        <w:tblpPr w:leftFromText="180" w:rightFromText="180" w:vertAnchor="page" w:horzAnchor="margin" w:tblpY="2714"/>
        <w:tblW w:w="7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8"/>
        <w:gridCol w:w="1618"/>
        <w:gridCol w:w="1471"/>
        <w:gridCol w:w="1472"/>
        <w:gridCol w:w="1466"/>
      </w:tblGrid>
      <w:tr w:rsidR="00D553CE" w:rsidRPr="00693480" w14:paraId="120C19C9" w14:textId="77777777" w:rsidTr="00D553CE">
        <w:trPr>
          <w:gridBefore w:val="1"/>
          <w:wBefore w:w="1848" w:type="dxa"/>
          <w:trHeight w:val="322"/>
        </w:trPr>
        <w:tc>
          <w:tcPr>
            <w:tcW w:w="6027" w:type="dxa"/>
            <w:gridSpan w:val="4"/>
          </w:tcPr>
          <w:p w14:paraId="7E976BB6" w14:textId="23E01D9D" w:rsidR="00D553CE" w:rsidRPr="00693480" w:rsidRDefault="00D553CE" w:rsidP="00F612CE">
            <w:pPr>
              <w:jc w:val="center"/>
            </w:pPr>
            <w:r w:rsidRPr="00693480">
              <w:t>Full Days Per Week</w:t>
            </w:r>
            <w:r>
              <w:t xml:space="preserve"> </w:t>
            </w:r>
            <w:r w:rsidR="00F612CE">
              <w:t>7</w:t>
            </w:r>
            <w:r>
              <w:t>am-</w:t>
            </w:r>
            <w:r w:rsidR="00F612CE">
              <w:t>6</w:t>
            </w:r>
            <w:r>
              <w:t>pm</w:t>
            </w:r>
          </w:p>
        </w:tc>
      </w:tr>
      <w:tr w:rsidR="00D553CE" w:rsidRPr="00693480" w14:paraId="26DB51B3" w14:textId="77777777" w:rsidTr="00D553CE">
        <w:trPr>
          <w:gridBefore w:val="1"/>
          <w:wBefore w:w="1848" w:type="dxa"/>
          <w:trHeight w:val="322"/>
        </w:trPr>
        <w:tc>
          <w:tcPr>
            <w:tcW w:w="1618" w:type="dxa"/>
          </w:tcPr>
          <w:p w14:paraId="7545E073" w14:textId="77777777" w:rsidR="00D553CE" w:rsidRPr="00693480" w:rsidRDefault="00D553CE" w:rsidP="00D553CE">
            <w:pPr>
              <w:jc w:val="center"/>
            </w:pPr>
            <w:r w:rsidRPr="00693480">
              <w:t>2</w:t>
            </w:r>
          </w:p>
        </w:tc>
        <w:tc>
          <w:tcPr>
            <w:tcW w:w="1471" w:type="dxa"/>
          </w:tcPr>
          <w:p w14:paraId="14C090F8" w14:textId="77777777" w:rsidR="00D553CE" w:rsidRPr="00693480" w:rsidRDefault="00D553CE" w:rsidP="00D553CE">
            <w:pPr>
              <w:jc w:val="center"/>
            </w:pPr>
            <w:r w:rsidRPr="00693480">
              <w:t>3</w:t>
            </w:r>
          </w:p>
        </w:tc>
        <w:tc>
          <w:tcPr>
            <w:tcW w:w="1472" w:type="dxa"/>
          </w:tcPr>
          <w:p w14:paraId="3A8630DE" w14:textId="77777777" w:rsidR="00D553CE" w:rsidRPr="00693480" w:rsidRDefault="00D553CE" w:rsidP="00D553CE">
            <w:pPr>
              <w:jc w:val="center"/>
            </w:pPr>
            <w:r w:rsidRPr="00693480">
              <w:t>4</w:t>
            </w:r>
          </w:p>
        </w:tc>
        <w:tc>
          <w:tcPr>
            <w:tcW w:w="1466" w:type="dxa"/>
          </w:tcPr>
          <w:p w14:paraId="490D8605" w14:textId="77777777" w:rsidR="00D553CE" w:rsidRPr="00693480" w:rsidRDefault="00D553CE" w:rsidP="00D553CE">
            <w:pPr>
              <w:jc w:val="center"/>
            </w:pPr>
            <w:r w:rsidRPr="00693480">
              <w:t>5</w:t>
            </w:r>
          </w:p>
        </w:tc>
      </w:tr>
      <w:tr w:rsidR="00D553CE" w:rsidRPr="00B37283" w14:paraId="289A1C5A" w14:textId="77777777" w:rsidTr="00D553CE">
        <w:trPr>
          <w:trHeight w:val="346"/>
        </w:trPr>
        <w:tc>
          <w:tcPr>
            <w:tcW w:w="1848" w:type="dxa"/>
          </w:tcPr>
          <w:p w14:paraId="46D9F860" w14:textId="77777777" w:rsidR="00D553CE" w:rsidRPr="00693480" w:rsidRDefault="00D553CE" w:rsidP="00D553CE">
            <w:proofErr w:type="gramStart"/>
            <w:r>
              <w:t>0-4 year olds</w:t>
            </w:r>
            <w:proofErr w:type="gramEnd"/>
          </w:p>
        </w:tc>
        <w:tc>
          <w:tcPr>
            <w:tcW w:w="1618" w:type="dxa"/>
          </w:tcPr>
          <w:p w14:paraId="331A4521" w14:textId="77777777" w:rsidR="00D553CE" w:rsidRPr="00693480" w:rsidRDefault="00D553CE" w:rsidP="00D553CE">
            <w:r w:rsidRPr="00693480">
              <w:t>£</w:t>
            </w:r>
            <w:r>
              <w:t>911.62</w:t>
            </w:r>
          </w:p>
        </w:tc>
        <w:tc>
          <w:tcPr>
            <w:tcW w:w="1471" w:type="dxa"/>
          </w:tcPr>
          <w:p w14:paraId="11DADD0E" w14:textId="77777777" w:rsidR="00D553CE" w:rsidRPr="00693480" w:rsidRDefault="00D553CE" w:rsidP="00D553CE">
            <w:r w:rsidRPr="00693480">
              <w:t>£1,</w:t>
            </w:r>
            <w:r>
              <w:t>367.43</w:t>
            </w:r>
          </w:p>
        </w:tc>
        <w:tc>
          <w:tcPr>
            <w:tcW w:w="1472" w:type="dxa"/>
          </w:tcPr>
          <w:p w14:paraId="145F224D" w14:textId="77777777" w:rsidR="00D553CE" w:rsidRPr="00693480" w:rsidRDefault="00D553CE" w:rsidP="00D553CE">
            <w:r w:rsidRPr="00693480">
              <w:t>£1,</w:t>
            </w:r>
            <w:r>
              <w:t>823.25</w:t>
            </w:r>
          </w:p>
        </w:tc>
        <w:tc>
          <w:tcPr>
            <w:tcW w:w="1466" w:type="dxa"/>
          </w:tcPr>
          <w:p w14:paraId="20B3B100" w14:textId="77777777" w:rsidR="00D553CE" w:rsidRPr="00693480" w:rsidRDefault="00D553CE" w:rsidP="00D553CE">
            <w:r w:rsidRPr="00693480">
              <w:t>£</w:t>
            </w:r>
            <w:r>
              <w:t>2,279.06</w:t>
            </w:r>
          </w:p>
        </w:tc>
      </w:tr>
    </w:tbl>
    <w:p w14:paraId="54E36EB7" w14:textId="77777777" w:rsidR="00D553CE" w:rsidRDefault="00D553CE" w:rsidP="00693480">
      <w:pPr>
        <w:rPr>
          <w:i/>
          <w:iCs/>
        </w:rPr>
      </w:pPr>
    </w:p>
    <w:p w14:paraId="3E7016DD" w14:textId="77777777" w:rsidR="00693480" w:rsidRPr="00693480" w:rsidRDefault="00693480" w:rsidP="00101255">
      <w:pPr>
        <w:rPr>
          <w:b/>
          <w:bCs/>
          <w:color w:val="F1A983" w:themeColor="accent2" w:themeTint="99"/>
          <w:u w:val="single"/>
        </w:rPr>
      </w:pPr>
    </w:p>
    <w:p w14:paraId="01F1CCB1" w14:textId="2355353D" w:rsidR="00101255" w:rsidRPr="00F612CE" w:rsidRDefault="00D553CE" w:rsidP="00101255">
      <w:pPr>
        <w:rPr>
          <w:b/>
          <w:bCs/>
          <w:color w:val="E97132" w:themeColor="accent2"/>
          <w:sz w:val="22"/>
          <w:szCs w:val="22"/>
          <w:u w:val="single"/>
        </w:rPr>
      </w:pPr>
      <w:r w:rsidRPr="00F612CE">
        <w:rPr>
          <w:b/>
          <w:bCs/>
          <w:color w:val="E97132" w:themeColor="accent2"/>
          <w:sz w:val="22"/>
          <w:szCs w:val="22"/>
          <w:u w:val="single"/>
        </w:rPr>
        <w:t xml:space="preserve">Example of </w:t>
      </w:r>
      <w:r w:rsidR="00101255" w:rsidRPr="00F612CE">
        <w:rPr>
          <w:b/>
          <w:bCs/>
          <w:color w:val="E97132" w:themeColor="accent2"/>
          <w:sz w:val="22"/>
          <w:szCs w:val="22"/>
          <w:u w:val="single"/>
        </w:rPr>
        <w:t>Fees with Early Years Funding Entitlement Applied Per Month</w:t>
      </w:r>
    </w:p>
    <w:p w14:paraId="08E9967F" w14:textId="33CE0347" w:rsidR="007B64D0" w:rsidRDefault="002729BA" w:rsidP="00B75ADE">
      <w:pPr>
        <w:rPr>
          <w:rFonts w:ascii="Aptos Light" w:hAnsi="Aptos Light" w:cs="Arial"/>
          <w:i/>
          <w:iCs/>
          <w:color w:val="0B1A3B"/>
          <w:shd w:val="clear" w:color="auto" w:fill="F0F0F0"/>
        </w:rPr>
      </w:pPr>
      <w:r w:rsidRPr="00693480">
        <w:rPr>
          <w:rFonts w:ascii="Aptos Light" w:hAnsi="Aptos Light" w:cs="Arial"/>
          <w:i/>
          <w:iCs/>
          <w:color w:val="0B1A3B"/>
          <w:shd w:val="clear" w:color="auto" w:fill="F0F0F0"/>
        </w:rPr>
        <w:t xml:space="preserve">Please note, for 2-day plans, your entitlement is capped at </w:t>
      </w:r>
      <w:r w:rsidR="0001158A" w:rsidRPr="00693480">
        <w:rPr>
          <w:rFonts w:ascii="Aptos Light" w:hAnsi="Aptos Light" w:cs="Arial"/>
          <w:i/>
          <w:iCs/>
          <w:color w:val="0B1A3B"/>
          <w:shd w:val="clear" w:color="auto" w:fill="F0F0F0"/>
        </w:rPr>
        <w:t>15</w:t>
      </w:r>
      <w:r w:rsidRPr="00693480">
        <w:rPr>
          <w:rFonts w:ascii="Aptos Light" w:hAnsi="Aptos Light" w:cs="Arial"/>
          <w:i/>
          <w:iCs/>
          <w:color w:val="0B1A3B"/>
          <w:shd w:val="clear" w:color="auto" w:fill="F0F0F0"/>
        </w:rPr>
        <w:t xml:space="preserve"> hours</w:t>
      </w:r>
      <w:r w:rsidR="00AB0AE5">
        <w:rPr>
          <w:rFonts w:ascii="Aptos Light" w:hAnsi="Aptos Light" w:cs="Arial"/>
          <w:i/>
          <w:iCs/>
          <w:color w:val="0B1A3B"/>
          <w:shd w:val="clear" w:color="auto" w:fill="F0F0F0"/>
        </w:rPr>
        <w:t xml:space="preserve"> if term time or 12 hours if stretched and </w:t>
      </w:r>
      <w:r w:rsidRPr="00693480">
        <w:rPr>
          <w:rFonts w:ascii="Aptos Light" w:hAnsi="Aptos Light" w:cs="Arial"/>
          <w:i/>
          <w:iCs/>
          <w:color w:val="0B1A3B"/>
          <w:shd w:val="clear" w:color="auto" w:fill="F0F0F0"/>
        </w:rPr>
        <w:t>in line with your actual attendance.</w:t>
      </w:r>
      <w:r w:rsidR="00C30BFF" w:rsidRPr="00693480">
        <w:rPr>
          <w:rFonts w:ascii="Aptos Light" w:hAnsi="Aptos Light" w:cs="Arial"/>
          <w:i/>
          <w:iCs/>
          <w:color w:val="0B1A3B"/>
          <w:shd w:val="clear" w:color="auto" w:fill="F0F0F0"/>
        </w:rPr>
        <w:t xml:space="preserve"> Our funded hours are delivered between 9:00am and </w:t>
      </w:r>
      <w:r w:rsidR="00D553CE">
        <w:rPr>
          <w:rFonts w:ascii="Aptos Light" w:hAnsi="Aptos Light" w:cs="Arial"/>
          <w:i/>
          <w:iCs/>
          <w:color w:val="0B1A3B"/>
          <w:shd w:val="clear" w:color="auto" w:fill="F0F0F0"/>
        </w:rPr>
        <w:t>3</w:t>
      </w:r>
      <w:r w:rsidR="00C30BFF" w:rsidRPr="00693480">
        <w:rPr>
          <w:rFonts w:ascii="Aptos Light" w:hAnsi="Aptos Light" w:cs="Arial"/>
          <w:i/>
          <w:iCs/>
          <w:color w:val="0B1A3B"/>
          <w:shd w:val="clear" w:color="auto" w:fill="F0F0F0"/>
        </w:rPr>
        <w:t>:00pm</w:t>
      </w:r>
      <w:r w:rsidR="00AB0AE5">
        <w:rPr>
          <w:rFonts w:ascii="Aptos Light" w:hAnsi="Aptos Light" w:cs="Arial"/>
          <w:i/>
          <w:iCs/>
          <w:color w:val="0B1A3B"/>
          <w:shd w:val="clear" w:color="auto" w:fill="F0F0F0"/>
        </w:rPr>
        <w:t xml:space="preserve"> if attending 2 days a week and 4pm if attending 3 or more days per week</w:t>
      </w:r>
      <w:r w:rsidR="00C30BFF" w:rsidRPr="00693480">
        <w:rPr>
          <w:rFonts w:ascii="Aptos Light" w:hAnsi="Aptos Light" w:cs="Arial"/>
          <w:i/>
          <w:iCs/>
          <w:color w:val="0B1A3B"/>
          <w:shd w:val="clear" w:color="auto" w:fill="F0F0F0"/>
        </w:rPr>
        <w:t>,</w:t>
      </w:r>
      <w:r w:rsidR="00AB0AE5">
        <w:rPr>
          <w:rFonts w:ascii="Aptos Light" w:hAnsi="Aptos Light" w:cs="Arial"/>
          <w:i/>
          <w:iCs/>
          <w:color w:val="0B1A3B"/>
          <w:shd w:val="clear" w:color="auto" w:fill="F0F0F0"/>
        </w:rPr>
        <w:t xml:space="preserve"> Monday to Friday</w:t>
      </w:r>
      <w:r w:rsidR="00935DEC">
        <w:rPr>
          <w:rFonts w:ascii="Aptos Light" w:hAnsi="Aptos Light" w:cs="Arial"/>
          <w:i/>
          <w:iCs/>
          <w:color w:val="0B1A3B"/>
          <w:shd w:val="clear" w:color="auto" w:fill="F0F0F0"/>
        </w:rPr>
        <w:t>. Please not you can’t use 30 Hours if you only attend 2 days a week.</w:t>
      </w:r>
    </w:p>
    <w:p w14:paraId="718BB506" w14:textId="77777777" w:rsidR="00B73279" w:rsidRDefault="00B73279" w:rsidP="00B75ADE">
      <w:pPr>
        <w:rPr>
          <w:rFonts w:ascii="Aptos Light" w:hAnsi="Aptos Light"/>
          <w:i/>
          <w:iCs/>
          <w:sz w:val="22"/>
          <w:szCs w:val="22"/>
        </w:rPr>
      </w:pPr>
    </w:p>
    <w:p w14:paraId="6D6C8B92" w14:textId="76643E98" w:rsidR="00AB0AE5" w:rsidRPr="00693480" w:rsidRDefault="00AB0AE5" w:rsidP="00AB0AE5">
      <w:pPr>
        <w:rPr>
          <w:i/>
          <w:iCs/>
        </w:rPr>
      </w:pPr>
      <w:r>
        <w:rPr>
          <w:i/>
          <w:iCs/>
        </w:rPr>
        <w:t>*Example after</w:t>
      </w:r>
      <w:r w:rsidRPr="00693480">
        <w:rPr>
          <w:i/>
          <w:iCs/>
        </w:rPr>
        <w:t xml:space="preserve"> funding is applied</w:t>
      </w:r>
    </w:p>
    <w:p w14:paraId="7EB12886" w14:textId="77777777" w:rsidR="00AB0AE5" w:rsidRPr="004E574B" w:rsidRDefault="00AB0AE5" w:rsidP="00B75ADE">
      <w:pPr>
        <w:rPr>
          <w:rFonts w:ascii="Aptos Light" w:hAnsi="Aptos Light"/>
          <w:i/>
          <w:iCs/>
          <w:sz w:val="22"/>
          <w:szCs w:val="22"/>
        </w:rPr>
      </w:pPr>
    </w:p>
    <w:tbl>
      <w:tblPr>
        <w:tblpPr w:leftFromText="180" w:rightFromText="180" w:vertAnchor="text" w:horzAnchor="margin" w:tblpY="177"/>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843"/>
        <w:gridCol w:w="1417"/>
        <w:gridCol w:w="1276"/>
        <w:gridCol w:w="1418"/>
      </w:tblGrid>
      <w:tr w:rsidR="00101255" w:rsidRPr="00B37283" w14:paraId="6514BCC6" w14:textId="77777777" w:rsidTr="00D13034">
        <w:trPr>
          <w:gridBefore w:val="1"/>
          <w:gridAfter w:val="3"/>
          <w:wBefore w:w="1838" w:type="dxa"/>
          <w:wAfter w:w="4111" w:type="dxa"/>
          <w:trHeight w:val="290"/>
        </w:trPr>
        <w:tc>
          <w:tcPr>
            <w:tcW w:w="1843" w:type="dxa"/>
          </w:tcPr>
          <w:p w14:paraId="4202160D" w14:textId="77777777" w:rsidR="00101255" w:rsidRPr="00B37283" w:rsidRDefault="00101255" w:rsidP="00D13034">
            <w:pPr>
              <w:jc w:val="center"/>
              <w:rPr>
                <w:sz w:val="22"/>
                <w:szCs w:val="22"/>
              </w:rPr>
            </w:pPr>
            <w:r w:rsidRPr="00B37283">
              <w:rPr>
                <w:sz w:val="22"/>
                <w:szCs w:val="22"/>
              </w:rPr>
              <w:t>Days Per Week</w:t>
            </w:r>
          </w:p>
        </w:tc>
      </w:tr>
      <w:tr w:rsidR="00101255" w:rsidRPr="00B37283" w14:paraId="6ABD2588" w14:textId="77777777" w:rsidTr="00D13034">
        <w:trPr>
          <w:gridBefore w:val="1"/>
          <w:wBefore w:w="1838" w:type="dxa"/>
          <w:trHeight w:val="290"/>
        </w:trPr>
        <w:tc>
          <w:tcPr>
            <w:tcW w:w="1843" w:type="dxa"/>
          </w:tcPr>
          <w:p w14:paraId="679ADFC7" w14:textId="77777777" w:rsidR="00101255" w:rsidRPr="00B37283" w:rsidRDefault="00101255" w:rsidP="00D13034">
            <w:pPr>
              <w:jc w:val="center"/>
              <w:rPr>
                <w:sz w:val="22"/>
                <w:szCs w:val="22"/>
              </w:rPr>
            </w:pPr>
            <w:r w:rsidRPr="00B37283">
              <w:rPr>
                <w:sz w:val="22"/>
                <w:szCs w:val="22"/>
              </w:rPr>
              <w:t>2</w:t>
            </w:r>
          </w:p>
        </w:tc>
        <w:tc>
          <w:tcPr>
            <w:tcW w:w="1417" w:type="dxa"/>
          </w:tcPr>
          <w:p w14:paraId="3B87CC0E" w14:textId="77777777" w:rsidR="00101255" w:rsidRPr="00B37283" w:rsidRDefault="00101255" w:rsidP="00D13034">
            <w:pPr>
              <w:jc w:val="center"/>
              <w:rPr>
                <w:sz w:val="22"/>
                <w:szCs w:val="22"/>
              </w:rPr>
            </w:pPr>
            <w:r w:rsidRPr="00B37283">
              <w:rPr>
                <w:sz w:val="22"/>
                <w:szCs w:val="22"/>
              </w:rPr>
              <w:t>3</w:t>
            </w:r>
          </w:p>
        </w:tc>
        <w:tc>
          <w:tcPr>
            <w:tcW w:w="1276" w:type="dxa"/>
          </w:tcPr>
          <w:p w14:paraId="63AC0B1A" w14:textId="77777777" w:rsidR="00101255" w:rsidRPr="00B37283" w:rsidRDefault="00101255" w:rsidP="00D13034">
            <w:pPr>
              <w:jc w:val="center"/>
              <w:rPr>
                <w:sz w:val="22"/>
                <w:szCs w:val="22"/>
              </w:rPr>
            </w:pPr>
            <w:r w:rsidRPr="00B37283">
              <w:rPr>
                <w:sz w:val="22"/>
                <w:szCs w:val="22"/>
              </w:rPr>
              <w:t>4</w:t>
            </w:r>
          </w:p>
        </w:tc>
        <w:tc>
          <w:tcPr>
            <w:tcW w:w="1418" w:type="dxa"/>
          </w:tcPr>
          <w:p w14:paraId="5A32D25D" w14:textId="77777777" w:rsidR="00101255" w:rsidRPr="00B37283" w:rsidRDefault="00101255" w:rsidP="00D13034">
            <w:pPr>
              <w:jc w:val="center"/>
              <w:rPr>
                <w:sz w:val="22"/>
                <w:szCs w:val="22"/>
              </w:rPr>
            </w:pPr>
            <w:r w:rsidRPr="00B37283">
              <w:rPr>
                <w:sz w:val="22"/>
                <w:szCs w:val="22"/>
              </w:rPr>
              <w:t>5</w:t>
            </w:r>
          </w:p>
        </w:tc>
      </w:tr>
      <w:tr w:rsidR="00A764F2" w:rsidRPr="00B37283" w14:paraId="538442C7" w14:textId="77777777" w:rsidTr="004E574B">
        <w:trPr>
          <w:trHeight w:val="311"/>
        </w:trPr>
        <w:tc>
          <w:tcPr>
            <w:tcW w:w="1838" w:type="dxa"/>
          </w:tcPr>
          <w:p w14:paraId="06A1FCE5" w14:textId="5201A307" w:rsidR="00A764F2" w:rsidRPr="00A764F2" w:rsidRDefault="00A764F2" w:rsidP="00D13034">
            <w:pPr>
              <w:rPr>
                <w:sz w:val="22"/>
                <w:szCs w:val="22"/>
                <w:highlight w:val="yellow"/>
              </w:rPr>
            </w:pPr>
            <w:r w:rsidRPr="002729BA">
              <w:rPr>
                <w:sz w:val="22"/>
                <w:szCs w:val="22"/>
              </w:rPr>
              <w:t xml:space="preserve">9mnths – 2yr </w:t>
            </w:r>
            <w:r w:rsidR="00423D2C" w:rsidRPr="002729BA">
              <w:rPr>
                <w:sz w:val="22"/>
                <w:szCs w:val="22"/>
              </w:rPr>
              <w:t>(</w:t>
            </w:r>
            <w:r w:rsidR="00036DF0">
              <w:rPr>
                <w:sz w:val="22"/>
                <w:szCs w:val="22"/>
              </w:rPr>
              <w:t>Working parent entitlement</w:t>
            </w:r>
            <w:r w:rsidR="00423D2C" w:rsidRPr="002729BA">
              <w:rPr>
                <w:sz w:val="22"/>
                <w:szCs w:val="22"/>
              </w:rPr>
              <w:t>)</w:t>
            </w:r>
          </w:p>
        </w:tc>
        <w:tc>
          <w:tcPr>
            <w:tcW w:w="1843" w:type="dxa"/>
          </w:tcPr>
          <w:p w14:paraId="0F6F82F5" w14:textId="260BBC92" w:rsidR="00A764F2" w:rsidRPr="00A764F2" w:rsidRDefault="004E574B" w:rsidP="00D13034">
            <w:pPr>
              <w:jc w:val="center"/>
              <w:rPr>
                <w:sz w:val="22"/>
                <w:szCs w:val="22"/>
                <w:highlight w:val="yellow"/>
              </w:rPr>
            </w:pPr>
            <w:r w:rsidRPr="00B37283">
              <w:rPr>
                <w:sz w:val="22"/>
                <w:szCs w:val="22"/>
              </w:rPr>
              <w:t>£</w:t>
            </w:r>
            <w:r>
              <w:rPr>
                <w:sz w:val="22"/>
                <w:szCs w:val="22"/>
              </w:rPr>
              <w:t>405.54</w:t>
            </w:r>
          </w:p>
        </w:tc>
        <w:tc>
          <w:tcPr>
            <w:tcW w:w="1417" w:type="dxa"/>
          </w:tcPr>
          <w:p w14:paraId="43FFB976" w14:textId="7ABA1982" w:rsidR="00A764F2" w:rsidRPr="00A764F2" w:rsidRDefault="002729BA" w:rsidP="002729BA">
            <w:pPr>
              <w:jc w:val="center"/>
              <w:rPr>
                <w:sz w:val="22"/>
                <w:szCs w:val="22"/>
                <w:highlight w:val="yellow"/>
              </w:rPr>
            </w:pPr>
            <w:r>
              <w:t>£</w:t>
            </w:r>
            <w:r w:rsidR="00F56C66">
              <w:t>4</w:t>
            </w:r>
            <w:r w:rsidR="00745F0C">
              <w:t>23.93</w:t>
            </w:r>
          </w:p>
        </w:tc>
        <w:tc>
          <w:tcPr>
            <w:tcW w:w="1276" w:type="dxa"/>
          </w:tcPr>
          <w:p w14:paraId="447AB025" w14:textId="712B5693" w:rsidR="00A764F2" w:rsidRPr="00A764F2" w:rsidRDefault="00745F0C" w:rsidP="002729BA">
            <w:pPr>
              <w:jc w:val="center"/>
              <w:rPr>
                <w:sz w:val="22"/>
                <w:szCs w:val="22"/>
                <w:highlight w:val="yellow"/>
              </w:rPr>
            </w:pPr>
            <w:r>
              <w:t>£807.50</w:t>
            </w:r>
          </w:p>
        </w:tc>
        <w:tc>
          <w:tcPr>
            <w:tcW w:w="1418" w:type="dxa"/>
          </w:tcPr>
          <w:p w14:paraId="01F62701" w14:textId="49836820" w:rsidR="00A764F2" w:rsidRDefault="00745F0C" w:rsidP="00D13034">
            <w:pPr>
              <w:jc w:val="center"/>
            </w:pPr>
            <w:r>
              <w:t>£1,</w:t>
            </w:r>
            <w:r w:rsidR="00D553CE">
              <w:t>2</w:t>
            </w:r>
            <w:r>
              <w:t>80.96</w:t>
            </w:r>
          </w:p>
          <w:p w14:paraId="31C451D6" w14:textId="0E7F24D0" w:rsidR="00745F0C" w:rsidRPr="00745F0C" w:rsidRDefault="00745F0C" w:rsidP="00D13034">
            <w:pPr>
              <w:jc w:val="center"/>
              <w:rPr>
                <w:sz w:val="18"/>
                <w:szCs w:val="18"/>
                <w:highlight w:val="yellow"/>
              </w:rPr>
            </w:pPr>
          </w:p>
        </w:tc>
      </w:tr>
      <w:tr w:rsidR="00AF0E33" w:rsidRPr="00B37283" w14:paraId="6576D51E" w14:textId="77777777" w:rsidTr="00D13034">
        <w:trPr>
          <w:trHeight w:val="311"/>
        </w:trPr>
        <w:tc>
          <w:tcPr>
            <w:tcW w:w="1838" w:type="dxa"/>
          </w:tcPr>
          <w:p w14:paraId="2EEB8C6B" w14:textId="6449810D" w:rsidR="00AF0E33" w:rsidRPr="0001158A" w:rsidRDefault="00AF0E33" w:rsidP="00AF0E33">
            <w:pPr>
              <w:rPr>
                <w:sz w:val="22"/>
                <w:szCs w:val="22"/>
              </w:rPr>
            </w:pPr>
            <w:r w:rsidRPr="0001158A">
              <w:rPr>
                <w:sz w:val="22"/>
                <w:szCs w:val="22"/>
              </w:rPr>
              <w:t xml:space="preserve">2-3 year </w:t>
            </w:r>
            <w:r w:rsidR="00036DF0" w:rsidRPr="002729BA">
              <w:rPr>
                <w:sz w:val="22"/>
                <w:szCs w:val="22"/>
              </w:rPr>
              <w:t>(</w:t>
            </w:r>
            <w:r w:rsidR="00036DF0">
              <w:rPr>
                <w:sz w:val="22"/>
                <w:szCs w:val="22"/>
              </w:rPr>
              <w:t>Working parent entitlement</w:t>
            </w:r>
            <w:r w:rsidR="00036DF0" w:rsidRPr="002729BA">
              <w:rPr>
                <w:sz w:val="22"/>
                <w:szCs w:val="22"/>
              </w:rPr>
              <w:t>)</w:t>
            </w:r>
          </w:p>
        </w:tc>
        <w:tc>
          <w:tcPr>
            <w:tcW w:w="1843" w:type="dxa"/>
          </w:tcPr>
          <w:p w14:paraId="1D76AC6E" w14:textId="2E561DD2" w:rsidR="00AF0E33" w:rsidRPr="0001158A" w:rsidRDefault="00AF0E33" w:rsidP="00AF0E33">
            <w:pPr>
              <w:jc w:val="center"/>
              <w:rPr>
                <w:sz w:val="22"/>
                <w:szCs w:val="22"/>
              </w:rPr>
            </w:pPr>
            <w:r w:rsidRPr="00B37283">
              <w:rPr>
                <w:sz w:val="22"/>
                <w:szCs w:val="22"/>
              </w:rPr>
              <w:t>£</w:t>
            </w:r>
            <w:r>
              <w:rPr>
                <w:sz w:val="22"/>
                <w:szCs w:val="22"/>
              </w:rPr>
              <w:t>405.54</w:t>
            </w:r>
          </w:p>
        </w:tc>
        <w:tc>
          <w:tcPr>
            <w:tcW w:w="1417" w:type="dxa"/>
          </w:tcPr>
          <w:p w14:paraId="6CC1BD58" w14:textId="7AB0EE5B" w:rsidR="00AF0E33" w:rsidRPr="00A764F2" w:rsidRDefault="00AF0E33" w:rsidP="00AF0E33">
            <w:pPr>
              <w:jc w:val="center"/>
              <w:rPr>
                <w:sz w:val="22"/>
                <w:szCs w:val="22"/>
                <w:highlight w:val="yellow"/>
              </w:rPr>
            </w:pPr>
            <w:r>
              <w:t>£423.93</w:t>
            </w:r>
          </w:p>
        </w:tc>
        <w:tc>
          <w:tcPr>
            <w:tcW w:w="1276" w:type="dxa"/>
          </w:tcPr>
          <w:p w14:paraId="5F89BA73" w14:textId="6F3509E5" w:rsidR="00AF0E33" w:rsidRPr="00A764F2" w:rsidRDefault="00AF0E33" w:rsidP="00AF0E33">
            <w:pPr>
              <w:jc w:val="center"/>
              <w:rPr>
                <w:sz w:val="22"/>
                <w:szCs w:val="22"/>
                <w:highlight w:val="yellow"/>
              </w:rPr>
            </w:pPr>
            <w:r>
              <w:t>£807.50</w:t>
            </w:r>
          </w:p>
        </w:tc>
        <w:tc>
          <w:tcPr>
            <w:tcW w:w="1418" w:type="dxa"/>
          </w:tcPr>
          <w:p w14:paraId="31142D02" w14:textId="63535BE4" w:rsidR="00AF0E33" w:rsidRDefault="00AF0E33" w:rsidP="00AF0E33">
            <w:pPr>
              <w:jc w:val="center"/>
            </w:pPr>
            <w:r>
              <w:t>£1,</w:t>
            </w:r>
            <w:r w:rsidR="00D553CE">
              <w:t>3</w:t>
            </w:r>
            <w:r>
              <w:t>80.96</w:t>
            </w:r>
          </w:p>
          <w:p w14:paraId="41C2B3C1" w14:textId="3EB3EDF2" w:rsidR="00AF0E33" w:rsidRPr="00A764F2" w:rsidRDefault="00AF0E33" w:rsidP="00AF0E33">
            <w:pPr>
              <w:jc w:val="center"/>
              <w:rPr>
                <w:sz w:val="22"/>
                <w:szCs w:val="22"/>
                <w:highlight w:val="yellow"/>
              </w:rPr>
            </w:pPr>
          </w:p>
        </w:tc>
      </w:tr>
      <w:tr w:rsidR="00101255" w:rsidRPr="00B37283" w14:paraId="55773F8D" w14:textId="77777777" w:rsidTr="00D13034">
        <w:trPr>
          <w:trHeight w:val="311"/>
        </w:trPr>
        <w:tc>
          <w:tcPr>
            <w:tcW w:w="1838" w:type="dxa"/>
          </w:tcPr>
          <w:p w14:paraId="43464482" w14:textId="645318BF" w:rsidR="00101255" w:rsidRPr="00B37283" w:rsidRDefault="00101255" w:rsidP="00D13034">
            <w:pPr>
              <w:rPr>
                <w:sz w:val="22"/>
                <w:szCs w:val="22"/>
              </w:rPr>
            </w:pPr>
            <w:r w:rsidRPr="00B37283">
              <w:rPr>
                <w:sz w:val="22"/>
                <w:szCs w:val="22"/>
              </w:rPr>
              <w:t xml:space="preserve">3-5 year </w:t>
            </w:r>
            <w:r w:rsidR="00036DF0" w:rsidRPr="002729BA">
              <w:rPr>
                <w:sz w:val="22"/>
                <w:szCs w:val="22"/>
              </w:rPr>
              <w:t>(</w:t>
            </w:r>
            <w:r w:rsidR="00036DF0">
              <w:rPr>
                <w:sz w:val="22"/>
                <w:szCs w:val="22"/>
              </w:rPr>
              <w:t>Working parent entitlement</w:t>
            </w:r>
            <w:r w:rsidR="00036DF0" w:rsidRPr="002729BA">
              <w:rPr>
                <w:sz w:val="22"/>
                <w:szCs w:val="22"/>
              </w:rPr>
              <w:t>)</w:t>
            </w:r>
          </w:p>
        </w:tc>
        <w:tc>
          <w:tcPr>
            <w:tcW w:w="1843" w:type="dxa"/>
          </w:tcPr>
          <w:p w14:paraId="79BF0C82" w14:textId="0BEEFD61" w:rsidR="00101255" w:rsidRPr="00B37283" w:rsidRDefault="00A144A2" w:rsidP="00D13034">
            <w:pPr>
              <w:jc w:val="center"/>
              <w:rPr>
                <w:sz w:val="22"/>
                <w:szCs w:val="22"/>
              </w:rPr>
            </w:pPr>
            <w:r w:rsidRPr="00B37283">
              <w:rPr>
                <w:sz w:val="22"/>
                <w:szCs w:val="22"/>
              </w:rPr>
              <w:t>£</w:t>
            </w:r>
            <w:r>
              <w:rPr>
                <w:sz w:val="22"/>
                <w:szCs w:val="22"/>
              </w:rPr>
              <w:t>612.00</w:t>
            </w:r>
          </w:p>
        </w:tc>
        <w:tc>
          <w:tcPr>
            <w:tcW w:w="1417" w:type="dxa"/>
          </w:tcPr>
          <w:p w14:paraId="314FDCE6" w14:textId="77777777" w:rsidR="00101255" w:rsidRPr="00B37283" w:rsidRDefault="00101255" w:rsidP="00D13034">
            <w:pPr>
              <w:jc w:val="center"/>
              <w:rPr>
                <w:sz w:val="22"/>
                <w:szCs w:val="22"/>
              </w:rPr>
            </w:pPr>
            <w:r>
              <w:rPr>
                <w:sz w:val="22"/>
                <w:szCs w:val="22"/>
              </w:rPr>
              <w:t>£752.44</w:t>
            </w:r>
          </w:p>
        </w:tc>
        <w:tc>
          <w:tcPr>
            <w:tcW w:w="1276" w:type="dxa"/>
          </w:tcPr>
          <w:p w14:paraId="5FDA3F31" w14:textId="77777777" w:rsidR="00101255" w:rsidRPr="00B37283" w:rsidRDefault="00101255" w:rsidP="00D13034">
            <w:pPr>
              <w:jc w:val="center"/>
              <w:rPr>
                <w:sz w:val="22"/>
                <w:szCs w:val="22"/>
              </w:rPr>
            </w:pPr>
            <w:r>
              <w:rPr>
                <w:sz w:val="22"/>
                <w:szCs w:val="22"/>
              </w:rPr>
              <w:t>£1,099.17</w:t>
            </w:r>
          </w:p>
        </w:tc>
        <w:tc>
          <w:tcPr>
            <w:tcW w:w="1418" w:type="dxa"/>
          </w:tcPr>
          <w:p w14:paraId="58BBF470" w14:textId="796F7838" w:rsidR="00101255" w:rsidRDefault="00101255" w:rsidP="00D13034">
            <w:pPr>
              <w:jc w:val="center"/>
              <w:rPr>
                <w:sz w:val="22"/>
                <w:szCs w:val="22"/>
              </w:rPr>
            </w:pPr>
            <w:r>
              <w:rPr>
                <w:sz w:val="22"/>
                <w:szCs w:val="22"/>
              </w:rPr>
              <w:t>£1,</w:t>
            </w:r>
            <w:r w:rsidR="00D553CE">
              <w:rPr>
                <w:sz w:val="22"/>
                <w:szCs w:val="22"/>
              </w:rPr>
              <w:t>4</w:t>
            </w:r>
            <w:r>
              <w:rPr>
                <w:sz w:val="22"/>
                <w:szCs w:val="22"/>
              </w:rPr>
              <w:t>80.65</w:t>
            </w:r>
          </w:p>
          <w:p w14:paraId="52B71A42" w14:textId="17BC211A" w:rsidR="00B73279" w:rsidRPr="00B37283" w:rsidRDefault="00B73279" w:rsidP="00D13034">
            <w:pPr>
              <w:jc w:val="center"/>
              <w:rPr>
                <w:sz w:val="22"/>
                <w:szCs w:val="22"/>
              </w:rPr>
            </w:pPr>
          </w:p>
        </w:tc>
      </w:tr>
    </w:tbl>
    <w:p w14:paraId="5AF2818D" w14:textId="506B70AD" w:rsidR="00A764F2" w:rsidRDefault="00A764F2" w:rsidP="00101255">
      <w:pPr>
        <w:rPr>
          <w:b/>
          <w:bCs/>
          <w:sz w:val="22"/>
          <w:szCs w:val="22"/>
          <w:u w:val="single"/>
        </w:rPr>
      </w:pPr>
    </w:p>
    <w:p w14:paraId="35898A3D" w14:textId="77777777" w:rsidR="00A764F2" w:rsidRDefault="00A764F2" w:rsidP="00101255">
      <w:pPr>
        <w:rPr>
          <w:b/>
          <w:bCs/>
          <w:sz w:val="22"/>
          <w:szCs w:val="22"/>
          <w:u w:val="single"/>
        </w:rPr>
      </w:pPr>
    </w:p>
    <w:p w14:paraId="3FE82E4F" w14:textId="77777777" w:rsidR="00A764F2" w:rsidRDefault="00A764F2" w:rsidP="00101255">
      <w:pPr>
        <w:rPr>
          <w:b/>
          <w:bCs/>
          <w:sz w:val="22"/>
          <w:szCs w:val="22"/>
          <w:u w:val="single"/>
        </w:rPr>
      </w:pPr>
    </w:p>
    <w:p w14:paraId="69C571C2" w14:textId="77777777" w:rsidR="002729BA" w:rsidRDefault="002729BA" w:rsidP="00101255">
      <w:pPr>
        <w:rPr>
          <w:b/>
          <w:bCs/>
          <w:sz w:val="22"/>
          <w:szCs w:val="22"/>
          <w:u w:val="single"/>
        </w:rPr>
      </w:pPr>
    </w:p>
    <w:p w14:paraId="56D0706B" w14:textId="77777777" w:rsidR="002729BA" w:rsidRDefault="002729BA" w:rsidP="00101255">
      <w:pPr>
        <w:rPr>
          <w:b/>
          <w:bCs/>
          <w:sz w:val="22"/>
          <w:szCs w:val="22"/>
          <w:u w:val="single"/>
        </w:rPr>
      </w:pPr>
    </w:p>
    <w:p w14:paraId="5AFD1C9D" w14:textId="77777777" w:rsidR="002729BA" w:rsidRDefault="002729BA" w:rsidP="00101255">
      <w:pPr>
        <w:rPr>
          <w:b/>
          <w:bCs/>
          <w:sz w:val="22"/>
          <w:szCs w:val="22"/>
          <w:u w:val="single"/>
        </w:rPr>
      </w:pPr>
    </w:p>
    <w:p w14:paraId="1405D145" w14:textId="77777777" w:rsidR="002729BA" w:rsidRDefault="002729BA" w:rsidP="00101255">
      <w:pPr>
        <w:rPr>
          <w:b/>
          <w:bCs/>
          <w:sz w:val="22"/>
          <w:szCs w:val="22"/>
          <w:u w:val="single"/>
        </w:rPr>
      </w:pPr>
    </w:p>
    <w:p w14:paraId="64581CD9" w14:textId="77777777" w:rsidR="00EA2B96" w:rsidRDefault="00EA2B96" w:rsidP="00101255">
      <w:pPr>
        <w:rPr>
          <w:b/>
          <w:bCs/>
          <w:sz w:val="22"/>
          <w:szCs w:val="22"/>
          <w:u w:val="single"/>
        </w:rPr>
      </w:pPr>
    </w:p>
    <w:p w14:paraId="7A32EF46" w14:textId="77777777" w:rsidR="00B73279" w:rsidRDefault="00B73279" w:rsidP="00101255">
      <w:pPr>
        <w:rPr>
          <w:b/>
          <w:bCs/>
          <w:color w:val="F1A983" w:themeColor="accent2" w:themeTint="99"/>
          <w:sz w:val="22"/>
          <w:szCs w:val="22"/>
          <w:u w:val="single"/>
        </w:rPr>
      </w:pPr>
    </w:p>
    <w:p w14:paraId="4E2D5745" w14:textId="77777777" w:rsidR="00B73279" w:rsidRDefault="00B73279" w:rsidP="00101255">
      <w:pPr>
        <w:rPr>
          <w:b/>
          <w:bCs/>
          <w:color w:val="F1A983" w:themeColor="accent2" w:themeTint="99"/>
          <w:sz w:val="22"/>
          <w:szCs w:val="22"/>
          <w:u w:val="single"/>
        </w:rPr>
      </w:pPr>
    </w:p>
    <w:p w14:paraId="2645C3D4" w14:textId="77777777" w:rsidR="00B73279" w:rsidRDefault="00B73279" w:rsidP="00101255">
      <w:pPr>
        <w:rPr>
          <w:b/>
          <w:bCs/>
          <w:color w:val="F1A983" w:themeColor="accent2" w:themeTint="99"/>
          <w:sz w:val="22"/>
          <w:szCs w:val="22"/>
          <w:u w:val="single"/>
        </w:rPr>
      </w:pPr>
    </w:p>
    <w:p w14:paraId="036AD9A8" w14:textId="77777777" w:rsidR="00DD6C20" w:rsidRDefault="00DD6C20" w:rsidP="00101255">
      <w:pPr>
        <w:rPr>
          <w:b/>
          <w:bCs/>
          <w:color w:val="F1A983" w:themeColor="accent2" w:themeTint="99"/>
          <w:sz w:val="22"/>
          <w:szCs w:val="22"/>
          <w:u w:val="single"/>
        </w:rPr>
      </w:pPr>
    </w:p>
    <w:p w14:paraId="75D1627C" w14:textId="77777777" w:rsidR="00693480" w:rsidRDefault="00693480" w:rsidP="00101255">
      <w:pPr>
        <w:rPr>
          <w:b/>
          <w:bCs/>
          <w:color w:val="F1A983" w:themeColor="accent2" w:themeTint="99"/>
          <w:sz w:val="22"/>
          <w:szCs w:val="22"/>
          <w:u w:val="single"/>
        </w:rPr>
      </w:pPr>
    </w:p>
    <w:p w14:paraId="5B5371A6" w14:textId="77777777" w:rsidR="00693480" w:rsidRDefault="00693480" w:rsidP="00101255">
      <w:pPr>
        <w:rPr>
          <w:b/>
          <w:bCs/>
          <w:color w:val="F1A983" w:themeColor="accent2" w:themeTint="99"/>
          <w:sz w:val="22"/>
          <w:szCs w:val="22"/>
          <w:u w:val="single"/>
        </w:rPr>
      </w:pPr>
    </w:p>
    <w:p w14:paraId="5CBC927C" w14:textId="7DC005A5" w:rsidR="00101255" w:rsidRPr="00F612CE" w:rsidRDefault="00D553CE" w:rsidP="00101255">
      <w:pPr>
        <w:rPr>
          <w:b/>
          <w:bCs/>
          <w:color w:val="E97132" w:themeColor="accent2"/>
          <w:sz w:val="22"/>
          <w:szCs w:val="22"/>
          <w:u w:val="single"/>
        </w:rPr>
      </w:pPr>
      <w:r w:rsidRPr="00F612CE">
        <w:rPr>
          <w:b/>
          <w:bCs/>
          <w:color w:val="E97132" w:themeColor="accent2"/>
          <w:sz w:val="22"/>
          <w:szCs w:val="22"/>
          <w:u w:val="single"/>
        </w:rPr>
        <w:t xml:space="preserve">Example of </w:t>
      </w:r>
      <w:r w:rsidR="00A764F2" w:rsidRPr="00F612CE">
        <w:rPr>
          <w:b/>
          <w:bCs/>
          <w:color w:val="E97132" w:themeColor="accent2"/>
          <w:sz w:val="22"/>
          <w:szCs w:val="22"/>
          <w:u w:val="single"/>
        </w:rPr>
        <w:t>T</w:t>
      </w:r>
      <w:r w:rsidR="00101255" w:rsidRPr="00F612CE">
        <w:rPr>
          <w:b/>
          <w:bCs/>
          <w:color w:val="E97132" w:themeColor="accent2"/>
          <w:sz w:val="22"/>
          <w:szCs w:val="22"/>
          <w:u w:val="single"/>
        </w:rPr>
        <w:t>erm Time Fees with Early Years Funding Entitlement Applied Per Month</w:t>
      </w:r>
    </w:p>
    <w:p w14:paraId="60B59101" w14:textId="03F29F66" w:rsidR="00C30BFF" w:rsidRDefault="0098744C" w:rsidP="00C30BFF">
      <w:pPr>
        <w:rPr>
          <w:rFonts w:ascii="Aptos Light" w:hAnsi="Aptos Light" w:cs="Arial"/>
          <w:i/>
          <w:iCs/>
          <w:color w:val="0B1A3B"/>
          <w:shd w:val="clear" w:color="auto" w:fill="F0F0F0"/>
        </w:rPr>
      </w:pPr>
      <w:r w:rsidRPr="00693480">
        <w:rPr>
          <w:rFonts w:ascii="Aptos Light" w:hAnsi="Aptos Light" w:cs="Arial"/>
          <w:i/>
          <w:iCs/>
          <w:color w:val="0B1A3B"/>
          <w:shd w:val="clear" w:color="auto" w:fill="F0F0F0"/>
        </w:rPr>
        <w:t xml:space="preserve">Please note, </w:t>
      </w:r>
      <w:r w:rsidR="0049674E" w:rsidRPr="00693480">
        <w:rPr>
          <w:rFonts w:ascii="Aptos Light" w:hAnsi="Aptos Light" w:cs="Arial"/>
          <w:i/>
          <w:iCs/>
          <w:color w:val="0B1A3B"/>
          <w:shd w:val="clear" w:color="auto" w:fill="F0F0F0"/>
        </w:rPr>
        <w:t>our term time placements are five days a week</w:t>
      </w:r>
      <w:r w:rsidR="00C30BFF" w:rsidRPr="00693480">
        <w:rPr>
          <w:rFonts w:ascii="Aptos Light" w:hAnsi="Aptos Light" w:cs="Arial"/>
          <w:i/>
          <w:iCs/>
          <w:color w:val="0B1A3B"/>
          <w:shd w:val="clear" w:color="auto" w:fill="F0F0F0"/>
        </w:rPr>
        <w:t>. Our funded hours are delivered between 9:00am and 3:00pm, Monday to Friday</w:t>
      </w:r>
    </w:p>
    <w:p w14:paraId="643D89B2" w14:textId="3088C63B" w:rsidR="0098744C" w:rsidRDefault="0098744C" w:rsidP="0098744C">
      <w:pPr>
        <w:rPr>
          <w:rFonts w:ascii="Aptos Light" w:hAnsi="Aptos Light" w:cs="Arial"/>
          <w:i/>
          <w:iCs/>
          <w:color w:val="0B1A3B"/>
          <w:shd w:val="clear" w:color="auto" w:fill="F0F0F0"/>
        </w:rPr>
      </w:pPr>
    </w:p>
    <w:tbl>
      <w:tblPr>
        <w:tblStyle w:val="TableGrid"/>
        <w:tblW w:w="0" w:type="auto"/>
        <w:tblLook w:val="04A0" w:firstRow="1" w:lastRow="0" w:firstColumn="1" w:lastColumn="0" w:noHBand="0" w:noVBand="1"/>
      </w:tblPr>
      <w:tblGrid>
        <w:gridCol w:w="4508"/>
        <w:gridCol w:w="4508"/>
      </w:tblGrid>
      <w:tr w:rsidR="00DD6C20" w14:paraId="647AB53B" w14:textId="77777777" w:rsidTr="00DD6C20">
        <w:tc>
          <w:tcPr>
            <w:tcW w:w="4508" w:type="dxa"/>
          </w:tcPr>
          <w:p w14:paraId="06242DDD" w14:textId="2BEC17E0" w:rsidR="00DD6C20" w:rsidRDefault="00DD6C20" w:rsidP="00DD6C20">
            <w:pPr>
              <w:rPr>
                <w:rFonts w:ascii="Aptos Light" w:hAnsi="Aptos Light"/>
                <w:i/>
                <w:iCs/>
                <w:sz w:val="22"/>
                <w:szCs w:val="22"/>
              </w:rPr>
            </w:pPr>
            <w:r w:rsidRPr="00A41F68">
              <w:rPr>
                <w:sz w:val="22"/>
                <w:szCs w:val="22"/>
              </w:rPr>
              <w:t xml:space="preserve">9mnths – 2yr </w:t>
            </w:r>
            <w:r w:rsidR="00036DF0" w:rsidRPr="002729BA">
              <w:rPr>
                <w:sz w:val="22"/>
                <w:szCs w:val="22"/>
              </w:rPr>
              <w:t>(</w:t>
            </w:r>
            <w:r w:rsidR="00036DF0">
              <w:rPr>
                <w:sz w:val="22"/>
                <w:szCs w:val="22"/>
              </w:rPr>
              <w:t>Working parent entitlement</w:t>
            </w:r>
            <w:r w:rsidR="00036DF0" w:rsidRPr="002729BA">
              <w:rPr>
                <w:sz w:val="22"/>
                <w:szCs w:val="22"/>
              </w:rPr>
              <w:t>)</w:t>
            </w:r>
          </w:p>
        </w:tc>
        <w:tc>
          <w:tcPr>
            <w:tcW w:w="4508" w:type="dxa"/>
          </w:tcPr>
          <w:p w14:paraId="35003840" w14:textId="3923891D" w:rsidR="00DD6C20" w:rsidRDefault="00DD6C20" w:rsidP="00D553CE">
            <w:pPr>
              <w:jc w:val="center"/>
              <w:rPr>
                <w:rFonts w:ascii="Aptos Light" w:hAnsi="Aptos Light"/>
                <w:i/>
                <w:iCs/>
                <w:sz w:val="22"/>
                <w:szCs w:val="22"/>
              </w:rPr>
            </w:pPr>
            <w:r w:rsidRPr="0049674E">
              <w:rPr>
                <w:sz w:val="22"/>
                <w:szCs w:val="22"/>
              </w:rPr>
              <w:t>£481.96</w:t>
            </w:r>
          </w:p>
        </w:tc>
      </w:tr>
      <w:tr w:rsidR="00DD6C20" w14:paraId="21A31B52" w14:textId="77777777" w:rsidTr="00DD6C20">
        <w:tc>
          <w:tcPr>
            <w:tcW w:w="4508" w:type="dxa"/>
          </w:tcPr>
          <w:p w14:paraId="52878B4C" w14:textId="42D48712" w:rsidR="00DD6C20" w:rsidRDefault="00DD6C20" w:rsidP="00DD6C20">
            <w:pPr>
              <w:rPr>
                <w:rFonts w:ascii="Aptos Light" w:hAnsi="Aptos Light"/>
                <w:i/>
                <w:iCs/>
                <w:sz w:val="22"/>
                <w:szCs w:val="22"/>
              </w:rPr>
            </w:pPr>
            <w:r w:rsidRPr="00A41F68">
              <w:rPr>
                <w:sz w:val="22"/>
                <w:szCs w:val="22"/>
              </w:rPr>
              <w:t xml:space="preserve">2-3 year </w:t>
            </w:r>
            <w:r w:rsidR="00693480">
              <w:rPr>
                <w:sz w:val="22"/>
                <w:szCs w:val="22"/>
              </w:rPr>
              <w:t>Universal 15 hours</w:t>
            </w:r>
          </w:p>
        </w:tc>
        <w:tc>
          <w:tcPr>
            <w:tcW w:w="4508" w:type="dxa"/>
          </w:tcPr>
          <w:p w14:paraId="34F7CDE8" w14:textId="234FF979" w:rsidR="00DD6C20" w:rsidRDefault="00DD6C20" w:rsidP="00D553CE">
            <w:pPr>
              <w:jc w:val="center"/>
              <w:rPr>
                <w:rFonts w:ascii="Aptos Light" w:hAnsi="Aptos Light"/>
                <w:i/>
                <w:iCs/>
                <w:sz w:val="22"/>
                <w:szCs w:val="22"/>
              </w:rPr>
            </w:pPr>
            <w:r>
              <w:rPr>
                <w:sz w:val="22"/>
                <w:szCs w:val="22"/>
              </w:rPr>
              <w:t>£1,092.18</w:t>
            </w:r>
          </w:p>
        </w:tc>
      </w:tr>
      <w:tr w:rsidR="00DD6C20" w14:paraId="23AB7290" w14:textId="77777777" w:rsidTr="00DD6C20">
        <w:tc>
          <w:tcPr>
            <w:tcW w:w="4508" w:type="dxa"/>
          </w:tcPr>
          <w:p w14:paraId="095BCAB2" w14:textId="1F1B9C27" w:rsidR="00DD6C20" w:rsidRDefault="00DD6C20" w:rsidP="00DD6C20">
            <w:pPr>
              <w:rPr>
                <w:rFonts w:ascii="Aptos Light" w:hAnsi="Aptos Light"/>
                <w:i/>
                <w:iCs/>
                <w:sz w:val="22"/>
                <w:szCs w:val="22"/>
              </w:rPr>
            </w:pPr>
            <w:r w:rsidRPr="00A41F68">
              <w:rPr>
                <w:sz w:val="22"/>
                <w:szCs w:val="22"/>
              </w:rPr>
              <w:t xml:space="preserve">2-3 years </w:t>
            </w:r>
            <w:r w:rsidR="00036DF0" w:rsidRPr="002729BA">
              <w:rPr>
                <w:sz w:val="22"/>
                <w:szCs w:val="22"/>
              </w:rPr>
              <w:t>(</w:t>
            </w:r>
            <w:r w:rsidR="00036DF0">
              <w:rPr>
                <w:sz w:val="22"/>
                <w:szCs w:val="22"/>
              </w:rPr>
              <w:t>Working parent entitlement</w:t>
            </w:r>
            <w:r w:rsidR="00036DF0" w:rsidRPr="002729BA">
              <w:rPr>
                <w:sz w:val="22"/>
                <w:szCs w:val="22"/>
              </w:rPr>
              <w:t>)</w:t>
            </w:r>
          </w:p>
        </w:tc>
        <w:tc>
          <w:tcPr>
            <w:tcW w:w="4508" w:type="dxa"/>
          </w:tcPr>
          <w:p w14:paraId="217BC118" w14:textId="4E226BED" w:rsidR="00DD6C20" w:rsidRDefault="00DD6C20" w:rsidP="00D553CE">
            <w:pPr>
              <w:jc w:val="center"/>
              <w:rPr>
                <w:rFonts w:ascii="Aptos Light" w:hAnsi="Aptos Light"/>
                <w:i/>
                <w:iCs/>
                <w:sz w:val="22"/>
                <w:szCs w:val="22"/>
              </w:rPr>
            </w:pPr>
            <w:r w:rsidRPr="00A41F68">
              <w:rPr>
                <w:sz w:val="22"/>
                <w:szCs w:val="22"/>
              </w:rPr>
              <w:t>£719.78</w:t>
            </w:r>
          </w:p>
        </w:tc>
      </w:tr>
      <w:tr w:rsidR="00DD6C20" w14:paraId="1B2E82ED" w14:textId="77777777" w:rsidTr="00DD6C20">
        <w:tc>
          <w:tcPr>
            <w:tcW w:w="4508" w:type="dxa"/>
          </w:tcPr>
          <w:p w14:paraId="0356C4AD" w14:textId="236D0D71" w:rsidR="00DD6C20" w:rsidRDefault="00DD6C20" w:rsidP="00DD6C20">
            <w:pPr>
              <w:rPr>
                <w:rFonts w:ascii="Aptos Light" w:hAnsi="Aptos Light"/>
                <w:i/>
                <w:iCs/>
                <w:sz w:val="22"/>
                <w:szCs w:val="22"/>
              </w:rPr>
            </w:pPr>
            <w:r w:rsidRPr="00FB4032">
              <w:rPr>
                <w:sz w:val="22"/>
                <w:szCs w:val="22"/>
              </w:rPr>
              <w:t>3–5 year Universal</w:t>
            </w:r>
            <w:r w:rsidR="00693480">
              <w:rPr>
                <w:sz w:val="22"/>
                <w:szCs w:val="22"/>
              </w:rPr>
              <w:t xml:space="preserve"> 15 hours</w:t>
            </w:r>
          </w:p>
        </w:tc>
        <w:tc>
          <w:tcPr>
            <w:tcW w:w="4508" w:type="dxa"/>
          </w:tcPr>
          <w:p w14:paraId="32C3C377" w14:textId="19933C31" w:rsidR="00DD6C20" w:rsidRDefault="00DD6C20" w:rsidP="00D553CE">
            <w:pPr>
              <w:jc w:val="center"/>
              <w:rPr>
                <w:rFonts w:ascii="Aptos Light" w:hAnsi="Aptos Light"/>
                <w:i/>
                <w:iCs/>
                <w:sz w:val="22"/>
                <w:szCs w:val="22"/>
              </w:rPr>
            </w:pPr>
            <w:r>
              <w:rPr>
                <w:sz w:val="22"/>
                <w:szCs w:val="22"/>
              </w:rPr>
              <w:t>£1,210.93</w:t>
            </w:r>
          </w:p>
        </w:tc>
      </w:tr>
      <w:tr w:rsidR="00DD6C20" w14:paraId="0524C170" w14:textId="77777777" w:rsidTr="00DD6C20">
        <w:tc>
          <w:tcPr>
            <w:tcW w:w="4508" w:type="dxa"/>
          </w:tcPr>
          <w:p w14:paraId="626177A4" w14:textId="2D48F37F" w:rsidR="00DD6C20" w:rsidRDefault="00DD6C20" w:rsidP="00DD6C20">
            <w:pPr>
              <w:rPr>
                <w:rFonts w:ascii="Aptos Light" w:hAnsi="Aptos Light"/>
                <w:i/>
                <w:iCs/>
                <w:sz w:val="22"/>
                <w:szCs w:val="22"/>
              </w:rPr>
            </w:pPr>
            <w:r w:rsidRPr="00FB4032">
              <w:rPr>
                <w:sz w:val="22"/>
                <w:szCs w:val="22"/>
              </w:rPr>
              <w:t>3-5 year</w:t>
            </w:r>
            <w:r w:rsidR="00036DF0">
              <w:rPr>
                <w:sz w:val="22"/>
                <w:szCs w:val="22"/>
              </w:rPr>
              <w:t xml:space="preserve"> </w:t>
            </w:r>
            <w:r w:rsidR="00036DF0" w:rsidRPr="002729BA">
              <w:rPr>
                <w:sz w:val="22"/>
                <w:szCs w:val="22"/>
              </w:rPr>
              <w:t>(</w:t>
            </w:r>
            <w:r w:rsidR="00036DF0">
              <w:rPr>
                <w:sz w:val="22"/>
                <w:szCs w:val="22"/>
              </w:rPr>
              <w:t>Working parent entitlement</w:t>
            </w:r>
            <w:r w:rsidR="00036DF0" w:rsidRPr="002729BA">
              <w:rPr>
                <w:sz w:val="22"/>
                <w:szCs w:val="22"/>
              </w:rPr>
              <w:t>)</w:t>
            </w:r>
          </w:p>
        </w:tc>
        <w:tc>
          <w:tcPr>
            <w:tcW w:w="4508" w:type="dxa"/>
          </w:tcPr>
          <w:p w14:paraId="5037BB99" w14:textId="4078D627" w:rsidR="00DD6C20" w:rsidRDefault="00DD6C20" w:rsidP="00D553CE">
            <w:pPr>
              <w:jc w:val="center"/>
              <w:rPr>
                <w:rFonts w:ascii="Aptos Light" w:hAnsi="Aptos Light"/>
                <w:i/>
                <w:iCs/>
                <w:sz w:val="22"/>
                <w:szCs w:val="22"/>
              </w:rPr>
            </w:pPr>
            <w:r>
              <w:rPr>
                <w:sz w:val="22"/>
                <w:szCs w:val="22"/>
              </w:rPr>
              <w:t>£957.28</w:t>
            </w:r>
          </w:p>
        </w:tc>
      </w:tr>
    </w:tbl>
    <w:p w14:paraId="1569004C" w14:textId="77777777" w:rsidR="00DD6C20" w:rsidRPr="004E574B" w:rsidRDefault="00DD6C20" w:rsidP="0098744C">
      <w:pPr>
        <w:rPr>
          <w:rFonts w:ascii="Aptos Light" w:hAnsi="Aptos Light"/>
          <w:i/>
          <w:iCs/>
          <w:sz w:val="22"/>
          <w:szCs w:val="22"/>
        </w:rPr>
      </w:pPr>
    </w:p>
    <w:p w14:paraId="2154EEEC" w14:textId="361E5F4E" w:rsidR="00A63402" w:rsidRPr="00B37283" w:rsidRDefault="00477EBF" w:rsidP="00B75ADE">
      <w:pPr>
        <w:rPr>
          <w:sz w:val="22"/>
          <w:szCs w:val="22"/>
        </w:rPr>
      </w:pPr>
      <w:r w:rsidRPr="00B37283">
        <w:rPr>
          <w:sz w:val="22"/>
          <w:szCs w:val="22"/>
        </w:rPr>
        <w:t>Working Parent Funding (WPF) Hours annually (15</w:t>
      </w:r>
      <w:r w:rsidR="0058054A">
        <w:rPr>
          <w:sz w:val="22"/>
          <w:szCs w:val="22"/>
        </w:rPr>
        <w:t xml:space="preserve"> </w:t>
      </w:r>
      <w:r w:rsidR="00A764F2" w:rsidRPr="00B37283">
        <w:rPr>
          <w:sz w:val="22"/>
          <w:szCs w:val="22"/>
        </w:rPr>
        <w:t>hours) Universal</w:t>
      </w:r>
      <w:r w:rsidRPr="00B37283">
        <w:rPr>
          <w:sz w:val="22"/>
          <w:szCs w:val="22"/>
        </w:rPr>
        <w:t xml:space="preserve"> </w:t>
      </w:r>
      <w:r w:rsidR="00A63402" w:rsidRPr="00B37283">
        <w:rPr>
          <w:sz w:val="22"/>
          <w:szCs w:val="22"/>
        </w:rPr>
        <w:t>570 Hours annually (15</w:t>
      </w:r>
      <w:r w:rsidR="0058054A">
        <w:rPr>
          <w:sz w:val="22"/>
          <w:szCs w:val="22"/>
        </w:rPr>
        <w:t xml:space="preserve"> </w:t>
      </w:r>
      <w:r w:rsidR="00A63402" w:rsidRPr="00B37283">
        <w:rPr>
          <w:sz w:val="22"/>
          <w:szCs w:val="22"/>
        </w:rPr>
        <w:t>hours)</w:t>
      </w:r>
    </w:p>
    <w:p w14:paraId="4929E2CA" w14:textId="78CB5AF6" w:rsidR="00A63402" w:rsidRPr="00B37283" w:rsidRDefault="00477EBF" w:rsidP="00B75ADE">
      <w:pPr>
        <w:rPr>
          <w:sz w:val="22"/>
          <w:szCs w:val="22"/>
        </w:rPr>
      </w:pPr>
      <w:r w:rsidRPr="00B37283">
        <w:rPr>
          <w:sz w:val="22"/>
          <w:szCs w:val="22"/>
        </w:rPr>
        <w:t xml:space="preserve">Universal and Working Parent Funding </w:t>
      </w:r>
      <w:r w:rsidR="00A63402" w:rsidRPr="00B37283">
        <w:rPr>
          <w:sz w:val="22"/>
          <w:szCs w:val="22"/>
        </w:rPr>
        <w:t>1140 Hours annually (30hours)</w:t>
      </w:r>
    </w:p>
    <w:p w14:paraId="7D1E710D" w14:textId="77777777" w:rsidR="00AB0AE5" w:rsidRDefault="00AB0AE5" w:rsidP="00411CD6">
      <w:pPr>
        <w:pStyle w:val="NormalWeb"/>
        <w:shd w:val="clear" w:color="auto" w:fill="FFFFFF"/>
        <w:spacing w:before="240" w:beforeAutospacing="0" w:after="0" w:afterAutospacing="0"/>
        <w:rPr>
          <w:rFonts w:asciiTheme="minorHAnsi" w:hAnsiTheme="minorHAnsi" w:cs="Gill Sans"/>
          <w:b/>
          <w:bCs/>
          <w:color w:val="F1A983" w:themeColor="accent2" w:themeTint="99"/>
          <w:shd w:val="clear" w:color="auto" w:fill="FFFFFF"/>
        </w:rPr>
      </w:pPr>
    </w:p>
    <w:p w14:paraId="2E1FEA5D" w14:textId="77777777" w:rsidR="00AB0AE5" w:rsidRDefault="00AB0AE5" w:rsidP="00411CD6">
      <w:pPr>
        <w:pStyle w:val="NormalWeb"/>
        <w:shd w:val="clear" w:color="auto" w:fill="FFFFFF"/>
        <w:spacing w:before="240" w:beforeAutospacing="0" w:after="0" w:afterAutospacing="0"/>
        <w:rPr>
          <w:rFonts w:asciiTheme="minorHAnsi" w:hAnsiTheme="minorHAnsi" w:cs="Gill Sans"/>
          <w:b/>
          <w:bCs/>
          <w:color w:val="F1A983" w:themeColor="accent2" w:themeTint="99"/>
          <w:shd w:val="clear" w:color="auto" w:fill="FFFFFF"/>
        </w:rPr>
      </w:pPr>
    </w:p>
    <w:p w14:paraId="5E4582A6" w14:textId="0DCD3726" w:rsidR="00D553CE" w:rsidRDefault="00411CD6" w:rsidP="00411CD6">
      <w:pPr>
        <w:pStyle w:val="NormalWeb"/>
        <w:shd w:val="clear" w:color="auto" w:fill="FFFFFF"/>
        <w:spacing w:before="240" w:beforeAutospacing="0" w:after="0" w:afterAutospacing="0"/>
        <w:rPr>
          <w:rFonts w:asciiTheme="minorHAnsi" w:hAnsiTheme="minorHAnsi" w:cs="Gill Sans"/>
          <w:b/>
          <w:bCs/>
          <w:color w:val="F1A983" w:themeColor="accent2" w:themeTint="99"/>
          <w:shd w:val="clear" w:color="auto" w:fill="FFFFFF"/>
        </w:rPr>
      </w:pPr>
      <w:r w:rsidRPr="00411CD6">
        <w:rPr>
          <w:rFonts w:asciiTheme="minorHAnsi" w:hAnsiTheme="minorHAnsi" w:cs="Gill Sans"/>
          <w:b/>
          <w:bCs/>
          <w:color w:val="F1A983" w:themeColor="accent2" w:themeTint="99"/>
          <w:shd w:val="clear" w:color="auto" w:fill="FFFFFF"/>
        </w:rPr>
        <w:t>Optional Extras</w:t>
      </w:r>
    </w:p>
    <w:p w14:paraId="4A9623CC" w14:textId="77777777" w:rsidR="00D553CE" w:rsidRPr="00D553CE" w:rsidRDefault="00D553CE" w:rsidP="00411CD6">
      <w:pPr>
        <w:pStyle w:val="NormalWeb"/>
        <w:shd w:val="clear" w:color="auto" w:fill="FFFFFF"/>
        <w:spacing w:before="240" w:beforeAutospacing="0" w:after="0" w:afterAutospacing="0"/>
        <w:rPr>
          <w:rFonts w:asciiTheme="minorHAnsi" w:hAnsiTheme="minorHAnsi" w:cs="Gill Sans"/>
          <w:b/>
          <w:bCs/>
          <w:color w:val="F1A983" w:themeColor="accent2" w:themeTint="99"/>
          <w:shd w:val="clear" w:color="auto" w:fill="FFFFFF"/>
        </w:rPr>
      </w:pPr>
    </w:p>
    <w:tbl>
      <w:tblPr>
        <w:tblStyle w:val="TableGrid"/>
        <w:tblW w:w="0" w:type="auto"/>
        <w:jc w:val="center"/>
        <w:tblLook w:val="04A0" w:firstRow="1" w:lastRow="0" w:firstColumn="1" w:lastColumn="0" w:noHBand="0" w:noVBand="1"/>
      </w:tblPr>
      <w:tblGrid>
        <w:gridCol w:w="3005"/>
        <w:gridCol w:w="3005"/>
      </w:tblGrid>
      <w:tr w:rsidR="00D553CE" w14:paraId="22A12825" w14:textId="77777777" w:rsidTr="00D553CE">
        <w:trPr>
          <w:jc w:val="center"/>
        </w:trPr>
        <w:tc>
          <w:tcPr>
            <w:tcW w:w="3005" w:type="dxa"/>
          </w:tcPr>
          <w:p w14:paraId="1FA7EDD6" w14:textId="2D257E99" w:rsidR="00D553CE" w:rsidRPr="00D553CE" w:rsidRDefault="00D553CE" w:rsidP="00D553CE">
            <w:pPr>
              <w:pStyle w:val="NormalWeb"/>
              <w:spacing w:before="0" w:beforeAutospacing="0" w:after="80" w:afterAutospacing="0"/>
              <w:jc w:val="center"/>
              <w:rPr>
                <w:rFonts w:asciiTheme="minorHAnsi" w:hAnsiTheme="minorHAnsi" w:cs="Gill Sans"/>
                <w:b/>
                <w:bCs/>
                <w:color w:val="000000"/>
                <w:sz w:val="22"/>
                <w:szCs w:val="22"/>
                <w:shd w:val="clear" w:color="auto" w:fill="FFFFFF"/>
              </w:rPr>
            </w:pPr>
            <w:r w:rsidRPr="00D553CE">
              <w:rPr>
                <w:rFonts w:asciiTheme="minorHAnsi" w:hAnsiTheme="minorHAnsi" w:cs="Gill Sans"/>
                <w:b/>
                <w:bCs/>
                <w:color w:val="000000"/>
                <w:sz w:val="22"/>
                <w:szCs w:val="22"/>
                <w:shd w:val="clear" w:color="auto" w:fill="FFFFFF"/>
              </w:rPr>
              <w:t>Description</w:t>
            </w:r>
          </w:p>
        </w:tc>
        <w:tc>
          <w:tcPr>
            <w:tcW w:w="3005" w:type="dxa"/>
          </w:tcPr>
          <w:p w14:paraId="085BE172" w14:textId="51547A3A" w:rsidR="00D553CE" w:rsidRPr="00D553CE" w:rsidRDefault="00D553CE" w:rsidP="00D553CE">
            <w:pPr>
              <w:pStyle w:val="NormalWeb"/>
              <w:spacing w:before="0" w:beforeAutospacing="0" w:after="80" w:afterAutospacing="0"/>
              <w:jc w:val="center"/>
              <w:rPr>
                <w:rFonts w:asciiTheme="minorHAnsi" w:hAnsiTheme="minorHAnsi" w:cs="Gill Sans"/>
                <w:b/>
                <w:bCs/>
                <w:color w:val="000000"/>
                <w:sz w:val="22"/>
                <w:szCs w:val="22"/>
                <w:shd w:val="clear" w:color="auto" w:fill="FFFFFF"/>
              </w:rPr>
            </w:pPr>
            <w:r>
              <w:rPr>
                <w:rFonts w:asciiTheme="minorHAnsi" w:hAnsiTheme="minorHAnsi" w:cs="Gill Sans"/>
                <w:b/>
                <w:bCs/>
                <w:color w:val="000000"/>
                <w:sz w:val="22"/>
                <w:szCs w:val="22"/>
                <w:shd w:val="clear" w:color="auto" w:fill="FFFFFF"/>
              </w:rPr>
              <w:t>Cost Per Day</w:t>
            </w:r>
          </w:p>
        </w:tc>
      </w:tr>
      <w:tr w:rsidR="00D553CE" w14:paraId="60ED825B" w14:textId="77777777" w:rsidTr="00D553CE">
        <w:trPr>
          <w:jc w:val="center"/>
        </w:trPr>
        <w:tc>
          <w:tcPr>
            <w:tcW w:w="3005" w:type="dxa"/>
          </w:tcPr>
          <w:p w14:paraId="1B8DCB6A" w14:textId="2338707F" w:rsidR="00D553CE" w:rsidRDefault="00D553CE" w:rsidP="00411CD6">
            <w:pPr>
              <w:pStyle w:val="NormalWeb"/>
              <w:spacing w:before="0" w:beforeAutospacing="0" w:after="80" w:afterAutospacing="0"/>
              <w:rPr>
                <w:rFonts w:asciiTheme="minorHAnsi" w:hAnsiTheme="minorHAnsi" w:cs="Gill Sans"/>
                <w:color w:val="000000"/>
                <w:sz w:val="22"/>
                <w:szCs w:val="22"/>
                <w:shd w:val="clear" w:color="auto" w:fill="FFFFFF"/>
              </w:rPr>
            </w:pPr>
            <w:r>
              <w:rPr>
                <w:rFonts w:asciiTheme="minorHAnsi" w:hAnsiTheme="minorHAnsi" w:cs="Gill Sans"/>
                <w:color w:val="000000"/>
                <w:sz w:val="22"/>
                <w:szCs w:val="22"/>
                <w:shd w:val="clear" w:color="auto" w:fill="FFFFFF"/>
              </w:rPr>
              <w:t>Breakfast</w:t>
            </w:r>
          </w:p>
        </w:tc>
        <w:tc>
          <w:tcPr>
            <w:tcW w:w="3005" w:type="dxa"/>
          </w:tcPr>
          <w:p w14:paraId="29C16F49" w14:textId="67C29AAA" w:rsidR="00D553CE" w:rsidRDefault="00D553CE" w:rsidP="00D553CE">
            <w:pPr>
              <w:pStyle w:val="NormalWeb"/>
              <w:spacing w:before="0" w:beforeAutospacing="0" w:after="80" w:afterAutospacing="0"/>
              <w:jc w:val="center"/>
              <w:rPr>
                <w:rFonts w:asciiTheme="minorHAnsi" w:hAnsiTheme="minorHAnsi" w:cs="Gill Sans"/>
                <w:color w:val="000000"/>
                <w:sz w:val="22"/>
                <w:szCs w:val="22"/>
                <w:shd w:val="clear" w:color="auto" w:fill="FFFFFF"/>
              </w:rPr>
            </w:pPr>
            <w:r>
              <w:rPr>
                <w:rFonts w:asciiTheme="minorHAnsi" w:hAnsiTheme="minorHAnsi" w:cs="Gill Sans"/>
                <w:color w:val="000000"/>
                <w:sz w:val="22"/>
                <w:szCs w:val="22"/>
                <w:shd w:val="clear" w:color="auto" w:fill="FFFFFF"/>
              </w:rPr>
              <w:t>£1.50</w:t>
            </w:r>
          </w:p>
        </w:tc>
      </w:tr>
      <w:tr w:rsidR="00AB0AE5" w14:paraId="1B1FF749" w14:textId="77777777" w:rsidTr="00D553CE">
        <w:trPr>
          <w:jc w:val="center"/>
        </w:trPr>
        <w:tc>
          <w:tcPr>
            <w:tcW w:w="3005" w:type="dxa"/>
          </w:tcPr>
          <w:p w14:paraId="7077E6C1" w14:textId="4830199B" w:rsidR="00AB0AE5" w:rsidRDefault="00AB0AE5" w:rsidP="00411CD6">
            <w:pPr>
              <w:pStyle w:val="NormalWeb"/>
              <w:spacing w:before="0" w:beforeAutospacing="0" w:after="80" w:afterAutospacing="0"/>
              <w:rPr>
                <w:rFonts w:asciiTheme="minorHAnsi" w:hAnsiTheme="minorHAnsi" w:cs="Gill Sans"/>
                <w:color w:val="000000"/>
                <w:sz w:val="22"/>
                <w:szCs w:val="22"/>
                <w:shd w:val="clear" w:color="auto" w:fill="FFFFFF"/>
              </w:rPr>
            </w:pPr>
            <w:r>
              <w:rPr>
                <w:rFonts w:asciiTheme="minorHAnsi" w:hAnsiTheme="minorHAnsi" w:cs="Gill Sans"/>
                <w:color w:val="000000"/>
                <w:sz w:val="22"/>
                <w:szCs w:val="22"/>
                <w:shd w:val="clear" w:color="auto" w:fill="FFFFFF"/>
              </w:rPr>
              <w:t xml:space="preserve">AM Snack </w:t>
            </w:r>
          </w:p>
        </w:tc>
        <w:tc>
          <w:tcPr>
            <w:tcW w:w="3005" w:type="dxa"/>
          </w:tcPr>
          <w:p w14:paraId="42DC5E71" w14:textId="3A5E8F2F" w:rsidR="00AB0AE5" w:rsidRDefault="00AB0AE5" w:rsidP="00D553CE">
            <w:pPr>
              <w:pStyle w:val="NormalWeb"/>
              <w:spacing w:before="0" w:beforeAutospacing="0" w:after="80" w:afterAutospacing="0"/>
              <w:jc w:val="center"/>
              <w:rPr>
                <w:rFonts w:asciiTheme="minorHAnsi" w:hAnsiTheme="minorHAnsi" w:cs="Gill Sans"/>
                <w:color w:val="000000"/>
                <w:sz w:val="22"/>
                <w:szCs w:val="22"/>
                <w:shd w:val="clear" w:color="auto" w:fill="FFFFFF"/>
              </w:rPr>
            </w:pPr>
            <w:r>
              <w:rPr>
                <w:rFonts w:asciiTheme="minorHAnsi" w:hAnsiTheme="minorHAnsi" w:cs="Gill Sans"/>
                <w:color w:val="000000"/>
                <w:sz w:val="22"/>
                <w:szCs w:val="22"/>
                <w:shd w:val="clear" w:color="auto" w:fill="FFFFFF"/>
              </w:rPr>
              <w:t>£1.50</w:t>
            </w:r>
          </w:p>
        </w:tc>
      </w:tr>
      <w:tr w:rsidR="00D553CE" w14:paraId="16377F40" w14:textId="77777777" w:rsidTr="00D553CE">
        <w:trPr>
          <w:jc w:val="center"/>
        </w:trPr>
        <w:tc>
          <w:tcPr>
            <w:tcW w:w="3005" w:type="dxa"/>
          </w:tcPr>
          <w:p w14:paraId="3BF657DA" w14:textId="1401581E" w:rsidR="00D553CE" w:rsidRDefault="00D553CE" w:rsidP="00411CD6">
            <w:pPr>
              <w:pStyle w:val="NormalWeb"/>
              <w:spacing w:before="0" w:beforeAutospacing="0" w:after="80" w:afterAutospacing="0"/>
              <w:rPr>
                <w:rFonts w:asciiTheme="minorHAnsi" w:hAnsiTheme="minorHAnsi" w:cs="Gill Sans"/>
                <w:color w:val="000000"/>
                <w:sz w:val="22"/>
                <w:szCs w:val="22"/>
                <w:shd w:val="clear" w:color="auto" w:fill="FFFFFF"/>
              </w:rPr>
            </w:pPr>
            <w:r>
              <w:rPr>
                <w:rFonts w:asciiTheme="minorHAnsi" w:hAnsiTheme="minorHAnsi" w:cs="Gill Sans"/>
                <w:color w:val="000000"/>
                <w:sz w:val="22"/>
                <w:szCs w:val="22"/>
                <w:shd w:val="clear" w:color="auto" w:fill="FFFFFF"/>
              </w:rPr>
              <w:t>Lunch</w:t>
            </w:r>
          </w:p>
        </w:tc>
        <w:tc>
          <w:tcPr>
            <w:tcW w:w="3005" w:type="dxa"/>
          </w:tcPr>
          <w:p w14:paraId="74951445" w14:textId="1FB8FD79" w:rsidR="00D553CE" w:rsidRDefault="00D553CE" w:rsidP="00D553CE">
            <w:pPr>
              <w:pStyle w:val="NormalWeb"/>
              <w:spacing w:before="0" w:beforeAutospacing="0" w:after="80" w:afterAutospacing="0"/>
              <w:jc w:val="center"/>
              <w:rPr>
                <w:rFonts w:asciiTheme="minorHAnsi" w:hAnsiTheme="minorHAnsi" w:cs="Gill Sans"/>
                <w:color w:val="000000"/>
                <w:sz w:val="22"/>
                <w:szCs w:val="22"/>
                <w:shd w:val="clear" w:color="auto" w:fill="FFFFFF"/>
              </w:rPr>
            </w:pPr>
            <w:r>
              <w:rPr>
                <w:rFonts w:asciiTheme="minorHAnsi" w:hAnsiTheme="minorHAnsi" w:cs="Gill Sans"/>
                <w:color w:val="000000"/>
                <w:sz w:val="22"/>
                <w:szCs w:val="22"/>
                <w:shd w:val="clear" w:color="auto" w:fill="FFFFFF"/>
              </w:rPr>
              <w:t>£3.50</w:t>
            </w:r>
          </w:p>
        </w:tc>
      </w:tr>
      <w:tr w:rsidR="00D553CE" w14:paraId="0C8D7110" w14:textId="77777777" w:rsidTr="00D553CE">
        <w:trPr>
          <w:jc w:val="center"/>
        </w:trPr>
        <w:tc>
          <w:tcPr>
            <w:tcW w:w="3005" w:type="dxa"/>
          </w:tcPr>
          <w:p w14:paraId="62AF325C" w14:textId="2CECBA47" w:rsidR="00D553CE" w:rsidRDefault="00D553CE" w:rsidP="00411CD6">
            <w:pPr>
              <w:pStyle w:val="NormalWeb"/>
              <w:spacing w:before="0" w:beforeAutospacing="0" w:after="80" w:afterAutospacing="0"/>
              <w:rPr>
                <w:rFonts w:asciiTheme="minorHAnsi" w:hAnsiTheme="minorHAnsi" w:cs="Gill Sans"/>
                <w:color w:val="000000"/>
                <w:sz w:val="22"/>
                <w:szCs w:val="22"/>
                <w:shd w:val="clear" w:color="auto" w:fill="FFFFFF"/>
              </w:rPr>
            </w:pPr>
            <w:r>
              <w:rPr>
                <w:rFonts w:asciiTheme="minorHAnsi" w:hAnsiTheme="minorHAnsi" w:cs="Gill Sans"/>
                <w:color w:val="000000"/>
                <w:sz w:val="22"/>
                <w:szCs w:val="22"/>
                <w:shd w:val="clear" w:color="auto" w:fill="FFFFFF"/>
              </w:rPr>
              <w:t>Tea</w:t>
            </w:r>
          </w:p>
        </w:tc>
        <w:tc>
          <w:tcPr>
            <w:tcW w:w="3005" w:type="dxa"/>
          </w:tcPr>
          <w:p w14:paraId="762BE217" w14:textId="0AD60C4F" w:rsidR="00D553CE" w:rsidRDefault="00D553CE" w:rsidP="00D553CE">
            <w:pPr>
              <w:pStyle w:val="NormalWeb"/>
              <w:spacing w:before="0" w:beforeAutospacing="0" w:after="80" w:afterAutospacing="0"/>
              <w:jc w:val="center"/>
              <w:rPr>
                <w:rFonts w:asciiTheme="minorHAnsi" w:hAnsiTheme="minorHAnsi" w:cs="Gill Sans"/>
                <w:color w:val="000000"/>
                <w:sz w:val="22"/>
                <w:szCs w:val="22"/>
                <w:shd w:val="clear" w:color="auto" w:fill="FFFFFF"/>
              </w:rPr>
            </w:pPr>
            <w:r>
              <w:rPr>
                <w:rFonts w:asciiTheme="minorHAnsi" w:hAnsiTheme="minorHAnsi" w:cs="Gill Sans"/>
                <w:color w:val="000000"/>
                <w:sz w:val="22"/>
                <w:szCs w:val="22"/>
                <w:shd w:val="clear" w:color="auto" w:fill="FFFFFF"/>
              </w:rPr>
              <w:t>£2.</w:t>
            </w:r>
            <w:r w:rsidR="00AB0AE5">
              <w:rPr>
                <w:rFonts w:asciiTheme="minorHAnsi" w:hAnsiTheme="minorHAnsi" w:cs="Gill Sans"/>
                <w:color w:val="000000"/>
                <w:sz w:val="22"/>
                <w:szCs w:val="22"/>
                <w:shd w:val="clear" w:color="auto" w:fill="FFFFFF"/>
              </w:rPr>
              <w:t>00</w:t>
            </w:r>
          </w:p>
        </w:tc>
      </w:tr>
      <w:tr w:rsidR="00D553CE" w14:paraId="110F8E3D" w14:textId="77777777" w:rsidTr="00D553CE">
        <w:trPr>
          <w:jc w:val="center"/>
        </w:trPr>
        <w:tc>
          <w:tcPr>
            <w:tcW w:w="3005" w:type="dxa"/>
          </w:tcPr>
          <w:p w14:paraId="0897B314" w14:textId="44EB8E4C" w:rsidR="00D553CE" w:rsidRDefault="00D553CE" w:rsidP="00411CD6">
            <w:pPr>
              <w:pStyle w:val="NormalWeb"/>
              <w:spacing w:before="0" w:beforeAutospacing="0" w:after="80" w:afterAutospacing="0"/>
              <w:rPr>
                <w:rFonts w:asciiTheme="minorHAnsi" w:hAnsiTheme="minorHAnsi" w:cs="Gill Sans"/>
                <w:color w:val="000000"/>
                <w:sz w:val="22"/>
                <w:szCs w:val="22"/>
                <w:shd w:val="clear" w:color="auto" w:fill="FFFFFF"/>
              </w:rPr>
            </w:pPr>
            <w:r>
              <w:rPr>
                <w:rFonts w:asciiTheme="minorHAnsi" w:hAnsiTheme="minorHAnsi" w:cs="Gill Sans"/>
                <w:color w:val="000000"/>
                <w:sz w:val="22"/>
                <w:szCs w:val="22"/>
                <w:shd w:val="clear" w:color="auto" w:fill="FFFFFF"/>
              </w:rPr>
              <w:t>Consumables</w:t>
            </w:r>
          </w:p>
        </w:tc>
        <w:tc>
          <w:tcPr>
            <w:tcW w:w="3005" w:type="dxa"/>
          </w:tcPr>
          <w:p w14:paraId="3EBDC3DB" w14:textId="1A4FEA04" w:rsidR="00D553CE" w:rsidRDefault="00D553CE" w:rsidP="00D553CE">
            <w:pPr>
              <w:pStyle w:val="NormalWeb"/>
              <w:spacing w:before="0" w:beforeAutospacing="0" w:after="80" w:afterAutospacing="0"/>
              <w:jc w:val="center"/>
              <w:rPr>
                <w:rFonts w:asciiTheme="minorHAnsi" w:hAnsiTheme="minorHAnsi" w:cs="Gill Sans"/>
                <w:color w:val="000000"/>
                <w:sz w:val="22"/>
                <w:szCs w:val="22"/>
                <w:shd w:val="clear" w:color="auto" w:fill="FFFFFF"/>
              </w:rPr>
            </w:pPr>
            <w:r>
              <w:rPr>
                <w:rFonts w:asciiTheme="minorHAnsi" w:hAnsiTheme="minorHAnsi" w:cs="Gill Sans"/>
                <w:color w:val="000000"/>
                <w:sz w:val="22"/>
                <w:szCs w:val="22"/>
                <w:shd w:val="clear" w:color="auto" w:fill="FFFFFF"/>
              </w:rPr>
              <w:t>£1.50</w:t>
            </w:r>
          </w:p>
        </w:tc>
      </w:tr>
    </w:tbl>
    <w:p w14:paraId="26C574C0" w14:textId="77777777" w:rsidR="00D553CE" w:rsidRDefault="00D553CE" w:rsidP="00411CD6">
      <w:pPr>
        <w:pStyle w:val="NormalWeb"/>
        <w:shd w:val="clear" w:color="auto" w:fill="FFFFFF"/>
        <w:spacing w:before="0" w:beforeAutospacing="0" w:after="80" w:afterAutospacing="0"/>
        <w:rPr>
          <w:rFonts w:asciiTheme="minorHAnsi" w:hAnsiTheme="minorHAnsi" w:cs="Gill Sans"/>
          <w:color w:val="000000"/>
          <w:sz w:val="22"/>
          <w:szCs w:val="22"/>
          <w:shd w:val="clear" w:color="auto" w:fill="FFFFFF"/>
        </w:rPr>
      </w:pPr>
    </w:p>
    <w:p w14:paraId="5A0776DF" w14:textId="43AF773E" w:rsidR="00411CD6" w:rsidRPr="00411CD6" w:rsidRDefault="00411CD6" w:rsidP="00411CD6">
      <w:pPr>
        <w:pStyle w:val="NormalWeb"/>
        <w:spacing w:before="0" w:beforeAutospacing="0" w:after="0" w:afterAutospacing="0"/>
        <w:ind w:left="720"/>
        <w:textAlignment w:val="baseline"/>
        <w:rPr>
          <w:rFonts w:asciiTheme="minorHAnsi" w:hAnsiTheme="minorHAnsi" w:cs="Gill Sans"/>
          <w:color w:val="000000"/>
          <w:sz w:val="22"/>
          <w:szCs w:val="22"/>
        </w:rPr>
      </w:pPr>
      <w:r w:rsidRPr="00411CD6">
        <w:rPr>
          <w:rFonts w:asciiTheme="minorHAnsi" w:hAnsiTheme="minorHAnsi" w:cs="Gill Sans"/>
          <w:color w:val="000000"/>
          <w:sz w:val="22"/>
          <w:szCs w:val="22"/>
        </w:rPr>
        <w:t xml:space="preserve">Whilst parents are </w:t>
      </w:r>
      <w:r>
        <w:rPr>
          <w:rFonts w:asciiTheme="minorHAnsi" w:hAnsiTheme="minorHAnsi" w:cs="Gill Sans"/>
          <w:color w:val="000000"/>
          <w:sz w:val="22"/>
          <w:szCs w:val="22"/>
        </w:rPr>
        <w:t>welcome</w:t>
      </w:r>
      <w:r w:rsidRPr="00411CD6">
        <w:rPr>
          <w:rFonts w:asciiTheme="minorHAnsi" w:hAnsiTheme="minorHAnsi" w:cs="Gill Sans"/>
          <w:color w:val="000000"/>
          <w:sz w:val="22"/>
          <w:szCs w:val="22"/>
        </w:rPr>
        <w:t xml:space="preserve"> to provide their own meals and snacks. Please note that it is our policy for children to feel included during meal and snack time, so we do insist that parents prepare the same meals that other children will be eating. The menu will be made available to you in advance. We also require parents to print and sign a waiver for the food that they bring into the nursery to certify that none of the food contains allergens or have been prepared near allergens. If we do not have the signed waiver for each session, </w:t>
      </w:r>
      <w:r w:rsidR="00036DF0">
        <w:rPr>
          <w:rFonts w:asciiTheme="minorHAnsi" w:hAnsiTheme="minorHAnsi" w:cs="Gill Sans"/>
          <w:color w:val="000000"/>
          <w:sz w:val="22"/>
          <w:szCs w:val="22"/>
        </w:rPr>
        <w:t xml:space="preserve">a charge </w:t>
      </w:r>
      <w:r w:rsidR="00D553CE">
        <w:rPr>
          <w:rFonts w:asciiTheme="minorHAnsi" w:hAnsiTheme="minorHAnsi" w:cs="Gill Sans"/>
          <w:color w:val="000000"/>
          <w:sz w:val="22"/>
          <w:szCs w:val="22"/>
        </w:rPr>
        <w:t>will be applied to the next invoice.</w:t>
      </w:r>
    </w:p>
    <w:p w14:paraId="350EE741" w14:textId="77777777" w:rsidR="00411CD6" w:rsidRPr="00411CD6" w:rsidRDefault="00411CD6" w:rsidP="00411CD6">
      <w:pPr>
        <w:pStyle w:val="NormalWeb"/>
        <w:shd w:val="clear" w:color="auto" w:fill="FFFFFF"/>
        <w:spacing w:before="0" w:beforeAutospacing="0" w:after="0" w:afterAutospacing="0"/>
        <w:textAlignment w:val="baseline"/>
        <w:rPr>
          <w:rFonts w:asciiTheme="minorHAnsi" w:hAnsiTheme="minorHAnsi" w:cs="Gill Sans"/>
          <w:color w:val="000000"/>
          <w:sz w:val="22"/>
          <w:szCs w:val="22"/>
        </w:rPr>
      </w:pPr>
    </w:p>
    <w:p w14:paraId="52CE5472" w14:textId="1CEDD77E" w:rsidR="00411CD6" w:rsidRPr="00411CD6" w:rsidRDefault="00D553CE" w:rsidP="00D553CE">
      <w:pPr>
        <w:pStyle w:val="NormalWeb"/>
        <w:shd w:val="clear" w:color="auto" w:fill="FFFFFF"/>
        <w:spacing w:before="0" w:beforeAutospacing="0" w:after="0" w:afterAutospacing="0"/>
        <w:ind w:left="720"/>
        <w:textAlignment w:val="baseline"/>
        <w:rPr>
          <w:rFonts w:asciiTheme="minorHAnsi" w:hAnsiTheme="minorHAnsi" w:cs="Gill Sans"/>
          <w:color w:val="000000"/>
          <w:sz w:val="22"/>
          <w:szCs w:val="22"/>
        </w:rPr>
      </w:pPr>
      <w:r>
        <w:rPr>
          <w:rFonts w:asciiTheme="minorHAnsi" w:hAnsiTheme="minorHAnsi" w:cs="Gill Sans"/>
          <w:color w:val="000000"/>
          <w:sz w:val="22"/>
          <w:szCs w:val="22"/>
        </w:rPr>
        <w:t>Whilst parents are welcome to provide their own c</w:t>
      </w:r>
      <w:r w:rsidR="00411CD6" w:rsidRPr="00411CD6">
        <w:rPr>
          <w:rFonts w:asciiTheme="minorHAnsi" w:hAnsiTheme="minorHAnsi" w:cs="Gill Sans"/>
          <w:color w:val="000000"/>
          <w:sz w:val="22"/>
          <w:szCs w:val="22"/>
        </w:rPr>
        <w:t>onsumables, e.g. sun cream, wipes, nappies, nappy cream, Calpol,</w:t>
      </w:r>
      <w:r w:rsidR="00935DEC">
        <w:rPr>
          <w:rFonts w:asciiTheme="minorHAnsi" w:hAnsiTheme="minorHAnsi" w:cs="Gill Sans"/>
          <w:color w:val="000000"/>
          <w:sz w:val="22"/>
          <w:szCs w:val="22"/>
        </w:rPr>
        <w:t xml:space="preserve"> teething gels, </w:t>
      </w:r>
      <w:r w:rsidR="00CB51E1">
        <w:rPr>
          <w:rFonts w:asciiTheme="minorHAnsi" w:hAnsiTheme="minorHAnsi" w:cs="Gill Sans"/>
          <w:color w:val="000000"/>
          <w:sz w:val="22"/>
          <w:szCs w:val="22"/>
        </w:rPr>
        <w:t>Pirton</w:t>
      </w:r>
      <w:r w:rsidR="00935DEC">
        <w:rPr>
          <w:rFonts w:asciiTheme="minorHAnsi" w:hAnsiTheme="minorHAnsi" w:cs="Gill Sans"/>
          <w:color w:val="000000"/>
          <w:sz w:val="22"/>
          <w:szCs w:val="22"/>
        </w:rPr>
        <w:t xml:space="preserve"> </w:t>
      </w:r>
      <w:r w:rsidR="00411CD6" w:rsidRPr="00411CD6">
        <w:rPr>
          <w:rFonts w:asciiTheme="minorHAnsi" w:hAnsiTheme="minorHAnsi" w:cs="Gill Sans"/>
          <w:color w:val="000000"/>
          <w:sz w:val="22"/>
          <w:szCs w:val="22"/>
        </w:rPr>
        <w:t>etc.</w:t>
      </w:r>
    </w:p>
    <w:p w14:paraId="507ABB03" w14:textId="07F4D980" w:rsidR="00411CD6" w:rsidRPr="00411CD6" w:rsidRDefault="00411CD6" w:rsidP="00411CD6">
      <w:pPr>
        <w:pStyle w:val="NormalWeb"/>
        <w:shd w:val="clear" w:color="auto" w:fill="FFFFFF"/>
        <w:spacing w:before="0" w:beforeAutospacing="0" w:after="0" w:afterAutospacing="0"/>
        <w:ind w:left="720"/>
        <w:textAlignment w:val="baseline"/>
        <w:rPr>
          <w:rFonts w:asciiTheme="minorHAnsi" w:hAnsiTheme="minorHAnsi" w:cs="Gill Sans"/>
          <w:color w:val="000000"/>
          <w:sz w:val="22"/>
          <w:szCs w:val="22"/>
        </w:rPr>
      </w:pPr>
      <w:r w:rsidRPr="00411CD6">
        <w:rPr>
          <w:rFonts w:asciiTheme="minorHAnsi" w:hAnsiTheme="minorHAnsi" w:cs="Gill Sans"/>
          <w:color w:val="000000"/>
          <w:sz w:val="22"/>
          <w:szCs w:val="22"/>
        </w:rPr>
        <w:t>We require that these items are brought in</w:t>
      </w:r>
      <w:r w:rsidR="00B73279">
        <w:rPr>
          <w:rFonts w:asciiTheme="minorHAnsi" w:hAnsiTheme="minorHAnsi" w:cs="Gill Sans"/>
          <w:color w:val="000000"/>
          <w:sz w:val="22"/>
          <w:szCs w:val="22"/>
        </w:rPr>
        <w:t xml:space="preserve"> sealed</w:t>
      </w:r>
      <w:r w:rsidRPr="00411CD6">
        <w:rPr>
          <w:rFonts w:asciiTheme="minorHAnsi" w:hAnsiTheme="minorHAnsi" w:cs="Gill Sans"/>
          <w:color w:val="000000"/>
          <w:sz w:val="22"/>
          <w:szCs w:val="22"/>
        </w:rPr>
        <w:t xml:space="preserve"> for each session and collected after the end of each session. In the event that a parent does not bring the required consumables </w:t>
      </w:r>
      <w:r w:rsidR="00036DF0" w:rsidRPr="00411CD6">
        <w:rPr>
          <w:rFonts w:asciiTheme="minorHAnsi" w:hAnsiTheme="minorHAnsi" w:cs="Gill Sans"/>
          <w:color w:val="000000"/>
          <w:sz w:val="22"/>
          <w:szCs w:val="22"/>
        </w:rPr>
        <w:t>then,</w:t>
      </w:r>
      <w:r w:rsidR="00036DF0">
        <w:rPr>
          <w:rFonts w:asciiTheme="minorHAnsi" w:hAnsiTheme="minorHAnsi" w:cs="Gill Sans"/>
          <w:color w:val="000000"/>
          <w:sz w:val="22"/>
          <w:szCs w:val="22"/>
        </w:rPr>
        <w:t xml:space="preserve"> an additional charge of </w:t>
      </w:r>
      <w:r w:rsidR="00D553CE">
        <w:rPr>
          <w:rFonts w:asciiTheme="minorHAnsi" w:hAnsiTheme="minorHAnsi" w:cs="Gill Sans"/>
          <w:color w:val="000000"/>
          <w:sz w:val="22"/>
          <w:szCs w:val="22"/>
        </w:rPr>
        <w:t>£1.50</w:t>
      </w:r>
      <w:r w:rsidR="00CB51E1">
        <w:rPr>
          <w:rFonts w:asciiTheme="minorHAnsi" w:hAnsiTheme="minorHAnsi" w:cs="Gill Sans"/>
          <w:color w:val="000000"/>
          <w:sz w:val="22"/>
          <w:szCs w:val="22"/>
        </w:rPr>
        <w:t xml:space="preserve"> will added to your invoice. </w:t>
      </w:r>
    </w:p>
    <w:p w14:paraId="77F5D90E" w14:textId="77777777" w:rsidR="00411CD6" w:rsidRDefault="00411CD6" w:rsidP="00B73279"/>
    <w:p w14:paraId="6E41EB51" w14:textId="1EB4F413" w:rsidR="00477EBF" w:rsidRPr="00D15503" w:rsidRDefault="00411CD6" w:rsidP="00477EBF">
      <w:pPr>
        <w:jc w:val="center"/>
        <w:rPr>
          <w:sz w:val="20"/>
          <w:szCs w:val="20"/>
        </w:rPr>
      </w:pPr>
      <w:hyperlink r:id="rId6" w:history="1">
        <w:r w:rsidRPr="00CA1381">
          <w:rPr>
            <w:rStyle w:val="Hyperlink"/>
            <w:sz w:val="20"/>
            <w:szCs w:val="20"/>
          </w:rPr>
          <w:t>https://www.gov.uk/tax-free-childcare</w:t>
        </w:r>
      </w:hyperlink>
    </w:p>
    <w:p w14:paraId="635A4F9A" w14:textId="462B8390" w:rsidR="00477EBF" w:rsidRDefault="005461A0" w:rsidP="00477EBF">
      <w:pPr>
        <w:jc w:val="center"/>
        <w:rPr>
          <w:sz w:val="20"/>
          <w:szCs w:val="20"/>
        </w:rPr>
      </w:pPr>
      <w:hyperlink r:id="rId7" w:history="1">
        <w:r w:rsidRPr="00CA1381">
          <w:rPr>
            <w:rStyle w:val="Hyperlink"/>
            <w:sz w:val="20"/>
            <w:szCs w:val="20"/>
          </w:rPr>
          <w:t>https://www.gov.uk/check-eligible-free-childcare-if-youre-working</w:t>
        </w:r>
      </w:hyperlink>
    </w:p>
    <w:p w14:paraId="1A273E8D" w14:textId="77777777" w:rsidR="005461A0" w:rsidRDefault="005461A0" w:rsidP="00477EBF">
      <w:pPr>
        <w:jc w:val="center"/>
        <w:rPr>
          <w:sz w:val="20"/>
          <w:szCs w:val="20"/>
        </w:rPr>
      </w:pPr>
    </w:p>
    <w:p w14:paraId="08845270" w14:textId="03F88970" w:rsidR="005461A0" w:rsidRDefault="005461A0" w:rsidP="005461A0">
      <w:pPr>
        <w:rPr>
          <w:sz w:val="22"/>
          <w:szCs w:val="22"/>
        </w:rPr>
      </w:pPr>
      <w:r w:rsidRPr="005461A0">
        <w:rPr>
          <w:sz w:val="22"/>
          <w:szCs w:val="22"/>
        </w:rPr>
        <w:t>To secure you child’s space please make a £350 deposit to</w:t>
      </w:r>
      <w:r>
        <w:rPr>
          <w:sz w:val="22"/>
          <w:szCs w:val="22"/>
        </w:rPr>
        <w:t>:</w:t>
      </w:r>
    </w:p>
    <w:p w14:paraId="2A036835" w14:textId="77777777" w:rsidR="005461A0" w:rsidRPr="005461A0" w:rsidRDefault="005461A0" w:rsidP="005461A0">
      <w:pPr>
        <w:rPr>
          <w:sz w:val="22"/>
          <w:szCs w:val="22"/>
        </w:rPr>
      </w:pPr>
    </w:p>
    <w:p w14:paraId="17B1076B" w14:textId="77777777" w:rsidR="005461A0" w:rsidRPr="005461A0" w:rsidRDefault="005461A0" w:rsidP="005461A0">
      <w:pPr>
        <w:rPr>
          <w:sz w:val="22"/>
          <w:szCs w:val="22"/>
        </w:rPr>
      </w:pPr>
      <w:r w:rsidRPr="005461A0">
        <w:rPr>
          <w:sz w:val="22"/>
          <w:szCs w:val="22"/>
        </w:rPr>
        <w:t>Sarah’s little stars LTD</w:t>
      </w:r>
    </w:p>
    <w:p w14:paraId="7D76471E" w14:textId="77777777" w:rsidR="005461A0" w:rsidRPr="005461A0" w:rsidRDefault="005461A0" w:rsidP="005461A0">
      <w:pPr>
        <w:rPr>
          <w:sz w:val="22"/>
          <w:szCs w:val="22"/>
        </w:rPr>
      </w:pPr>
      <w:r w:rsidRPr="005461A0">
        <w:rPr>
          <w:sz w:val="22"/>
          <w:szCs w:val="22"/>
        </w:rPr>
        <w:t>Virgin business banking (will come up as Yorkshire banking)</w:t>
      </w:r>
    </w:p>
    <w:p w14:paraId="3D935364" w14:textId="77777777" w:rsidR="005461A0" w:rsidRPr="005461A0" w:rsidRDefault="005461A0" w:rsidP="005461A0">
      <w:pPr>
        <w:rPr>
          <w:sz w:val="22"/>
          <w:szCs w:val="22"/>
        </w:rPr>
      </w:pPr>
      <w:r w:rsidRPr="005461A0">
        <w:rPr>
          <w:sz w:val="22"/>
          <w:szCs w:val="22"/>
        </w:rPr>
        <w:t>Sort code 05-00-05</w:t>
      </w:r>
    </w:p>
    <w:p w14:paraId="57F30928" w14:textId="77777777" w:rsidR="005461A0" w:rsidRPr="005461A0" w:rsidRDefault="005461A0" w:rsidP="005461A0">
      <w:pPr>
        <w:rPr>
          <w:sz w:val="22"/>
          <w:szCs w:val="22"/>
        </w:rPr>
      </w:pPr>
      <w:r w:rsidRPr="005461A0">
        <w:rPr>
          <w:sz w:val="22"/>
          <w:szCs w:val="22"/>
        </w:rPr>
        <w:t>Account number 06404887</w:t>
      </w:r>
    </w:p>
    <w:p w14:paraId="21B3179A" w14:textId="77777777" w:rsidR="005461A0" w:rsidRDefault="005461A0" w:rsidP="005461A0">
      <w:pPr>
        <w:rPr>
          <w:sz w:val="22"/>
          <w:szCs w:val="22"/>
        </w:rPr>
      </w:pPr>
      <w:r w:rsidRPr="005461A0">
        <w:rPr>
          <w:sz w:val="22"/>
          <w:szCs w:val="22"/>
        </w:rPr>
        <w:t>Please use your child’s name as the payment reference</w:t>
      </w:r>
    </w:p>
    <w:p w14:paraId="1AFF0D66" w14:textId="77777777" w:rsidR="005461A0" w:rsidRDefault="005461A0" w:rsidP="005461A0">
      <w:pPr>
        <w:rPr>
          <w:sz w:val="22"/>
          <w:szCs w:val="22"/>
        </w:rPr>
      </w:pPr>
    </w:p>
    <w:p w14:paraId="7171DD9A" w14:textId="77777777" w:rsidR="00CB51E1" w:rsidRPr="005461A0" w:rsidRDefault="00CB51E1" w:rsidP="00CB51E1">
      <w:pPr>
        <w:rPr>
          <w:sz w:val="22"/>
          <w:szCs w:val="22"/>
        </w:rPr>
      </w:pPr>
      <w:r>
        <w:rPr>
          <w:sz w:val="22"/>
          <w:szCs w:val="22"/>
        </w:rPr>
        <w:t>Please note, if you chose to retract your place prior to starting with Sarah’s little Stars the deposit is non-refundable.</w:t>
      </w:r>
    </w:p>
    <w:p w14:paraId="384F4399" w14:textId="77777777" w:rsidR="00CB51E1" w:rsidRPr="00693480" w:rsidRDefault="00CB51E1" w:rsidP="00CB51E1"/>
    <w:p w14:paraId="4B0847A3" w14:textId="77777777" w:rsidR="005461A0" w:rsidRPr="00D15503" w:rsidRDefault="005461A0" w:rsidP="00477EBF">
      <w:pPr>
        <w:jc w:val="center"/>
        <w:rPr>
          <w:sz w:val="20"/>
          <w:szCs w:val="20"/>
        </w:rPr>
      </w:pPr>
    </w:p>
    <w:sectPr w:rsidR="005461A0" w:rsidRPr="00D155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w:panose1 w:val="020B0502020104020203"/>
    <w:charset w:val="B1"/>
    <w:family w:val="swiss"/>
    <w:pitch w:val="variable"/>
    <w:sig w:usb0="80000A67" w:usb1="00000000" w:usb2="00000000" w:usb3="00000000" w:csb0="000001F7" w:csb1="00000000"/>
  </w:font>
  <w:font w:name="Aptos Light">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1529C"/>
    <w:multiLevelType w:val="multilevel"/>
    <w:tmpl w:val="C864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7703EB"/>
    <w:multiLevelType w:val="multilevel"/>
    <w:tmpl w:val="E6AC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555749">
    <w:abstractNumId w:val="0"/>
  </w:num>
  <w:num w:numId="2" w16cid:durableId="1427119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ADE"/>
    <w:rsid w:val="0001158A"/>
    <w:rsid w:val="00036DF0"/>
    <w:rsid w:val="0005326D"/>
    <w:rsid w:val="000607AA"/>
    <w:rsid w:val="0008584E"/>
    <w:rsid w:val="000A76B6"/>
    <w:rsid w:val="000D04C9"/>
    <w:rsid w:val="00101255"/>
    <w:rsid w:val="00151FA3"/>
    <w:rsid w:val="001708BF"/>
    <w:rsid w:val="001D7AF7"/>
    <w:rsid w:val="00230C14"/>
    <w:rsid w:val="00243E4E"/>
    <w:rsid w:val="0025159C"/>
    <w:rsid w:val="002729BA"/>
    <w:rsid w:val="00273E1D"/>
    <w:rsid w:val="00283359"/>
    <w:rsid w:val="002F0259"/>
    <w:rsid w:val="00307B39"/>
    <w:rsid w:val="00334827"/>
    <w:rsid w:val="003553FF"/>
    <w:rsid w:val="00373404"/>
    <w:rsid w:val="003D04CA"/>
    <w:rsid w:val="00401ADE"/>
    <w:rsid w:val="00411CD6"/>
    <w:rsid w:val="00423D2C"/>
    <w:rsid w:val="00435773"/>
    <w:rsid w:val="004368C1"/>
    <w:rsid w:val="004741FC"/>
    <w:rsid w:val="00477EBF"/>
    <w:rsid w:val="0049674E"/>
    <w:rsid w:val="004E035C"/>
    <w:rsid w:val="004E574B"/>
    <w:rsid w:val="004F671D"/>
    <w:rsid w:val="005461A0"/>
    <w:rsid w:val="00551590"/>
    <w:rsid w:val="00563ED9"/>
    <w:rsid w:val="0057100D"/>
    <w:rsid w:val="0058054A"/>
    <w:rsid w:val="00580627"/>
    <w:rsid w:val="005A0909"/>
    <w:rsid w:val="005A1880"/>
    <w:rsid w:val="005B541A"/>
    <w:rsid w:val="005F1C02"/>
    <w:rsid w:val="00600EE2"/>
    <w:rsid w:val="006200E7"/>
    <w:rsid w:val="0066440F"/>
    <w:rsid w:val="0067029B"/>
    <w:rsid w:val="00693480"/>
    <w:rsid w:val="006C73B8"/>
    <w:rsid w:val="00711080"/>
    <w:rsid w:val="00745F0C"/>
    <w:rsid w:val="007774B5"/>
    <w:rsid w:val="007B2877"/>
    <w:rsid w:val="007B64D0"/>
    <w:rsid w:val="00805162"/>
    <w:rsid w:val="00806314"/>
    <w:rsid w:val="00815588"/>
    <w:rsid w:val="00842C3B"/>
    <w:rsid w:val="00856C04"/>
    <w:rsid w:val="00866C4B"/>
    <w:rsid w:val="008678F1"/>
    <w:rsid w:val="008874CF"/>
    <w:rsid w:val="009268B4"/>
    <w:rsid w:val="00935DEC"/>
    <w:rsid w:val="0098744C"/>
    <w:rsid w:val="009C3E14"/>
    <w:rsid w:val="009E15E2"/>
    <w:rsid w:val="00A144A2"/>
    <w:rsid w:val="00A27990"/>
    <w:rsid w:val="00A3287E"/>
    <w:rsid w:val="00A41F68"/>
    <w:rsid w:val="00A63402"/>
    <w:rsid w:val="00A764F2"/>
    <w:rsid w:val="00AB0AE5"/>
    <w:rsid w:val="00AF0E33"/>
    <w:rsid w:val="00B13417"/>
    <w:rsid w:val="00B26D21"/>
    <w:rsid w:val="00B3064E"/>
    <w:rsid w:val="00B37283"/>
    <w:rsid w:val="00B415AC"/>
    <w:rsid w:val="00B52DD3"/>
    <w:rsid w:val="00B73279"/>
    <w:rsid w:val="00B75ADE"/>
    <w:rsid w:val="00BA6E74"/>
    <w:rsid w:val="00BF0C75"/>
    <w:rsid w:val="00C30BFF"/>
    <w:rsid w:val="00C65D2A"/>
    <w:rsid w:val="00C84DD7"/>
    <w:rsid w:val="00CB457B"/>
    <w:rsid w:val="00CB51E1"/>
    <w:rsid w:val="00D15503"/>
    <w:rsid w:val="00D42E70"/>
    <w:rsid w:val="00D47624"/>
    <w:rsid w:val="00D47A7F"/>
    <w:rsid w:val="00D553CE"/>
    <w:rsid w:val="00D8113B"/>
    <w:rsid w:val="00DD6C20"/>
    <w:rsid w:val="00DE2B54"/>
    <w:rsid w:val="00E07628"/>
    <w:rsid w:val="00E21E0B"/>
    <w:rsid w:val="00E418CA"/>
    <w:rsid w:val="00E55418"/>
    <w:rsid w:val="00E8245C"/>
    <w:rsid w:val="00EA2B96"/>
    <w:rsid w:val="00F0403A"/>
    <w:rsid w:val="00F219E4"/>
    <w:rsid w:val="00F56C66"/>
    <w:rsid w:val="00F612CE"/>
    <w:rsid w:val="00F81281"/>
    <w:rsid w:val="00FA37C7"/>
    <w:rsid w:val="00FD5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AEF739"/>
  <w15:chartTrackingRefBased/>
  <w15:docId w15:val="{B7FEF12B-A19B-D144-A97C-B928AC13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A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A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A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A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A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A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A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A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A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A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A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A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A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A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A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A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A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ADE"/>
    <w:rPr>
      <w:rFonts w:eastAsiaTheme="majorEastAsia" w:cstheme="majorBidi"/>
      <w:color w:val="272727" w:themeColor="text1" w:themeTint="D8"/>
    </w:rPr>
  </w:style>
  <w:style w:type="paragraph" w:styleId="Title">
    <w:name w:val="Title"/>
    <w:basedOn w:val="Normal"/>
    <w:next w:val="Normal"/>
    <w:link w:val="TitleChar"/>
    <w:uiPriority w:val="10"/>
    <w:qFormat/>
    <w:rsid w:val="00B75A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A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A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A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A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5ADE"/>
    <w:rPr>
      <w:i/>
      <w:iCs/>
      <w:color w:val="404040" w:themeColor="text1" w:themeTint="BF"/>
    </w:rPr>
  </w:style>
  <w:style w:type="paragraph" w:styleId="ListParagraph">
    <w:name w:val="List Paragraph"/>
    <w:basedOn w:val="Normal"/>
    <w:uiPriority w:val="34"/>
    <w:qFormat/>
    <w:rsid w:val="00B75ADE"/>
    <w:pPr>
      <w:ind w:left="720"/>
      <w:contextualSpacing/>
    </w:pPr>
  </w:style>
  <w:style w:type="character" w:styleId="IntenseEmphasis">
    <w:name w:val="Intense Emphasis"/>
    <w:basedOn w:val="DefaultParagraphFont"/>
    <w:uiPriority w:val="21"/>
    <w:qFormat/>
    <w:rsid w:val="00B75ADE"/>
    <w:rPr>
      <w:i/>
      <w:iCs/>
      <w:color w:val="0F4761" w:themeColor="accent1" w:themeShade="BF"/>
    </w:rPr>
  </w:style>
  <w:style w:type="paragraph" w:styleId="IntenseQuote">
    <w:name w:val="Intense Quote"/>
    <w:basedOn w:val="Normal"/>
    <w:next w:val="Normal"/>
    <w:link w:val="IntenseQuoteChar"/>
    <w:uiPriority w:val="30"/>
    <w:qFormat/>
    <w:rsid w:val="00B75A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ADE"/>
    <w:rPr>
      <w:i/>
      <w:iCs/>
      <w:color w:val="0F4761" w:themeColor="accent1" w:themeShade="BF"/>
    </w:rPr>
  </w:style>
  <w:style w:type="character" w:styleId="IntenseReference">
    <w:name w:val="Intense Reference"/>
    <w:basedOn w:val="DefaultParagraphFont"/>
    <w:uiPriority w:val="32"/>
    <w:qFormat/>
    <w:rsid w:val="00B75ADE"/>
    <w:rPr>
      <w:b/>
      <w:bCs/>
      <w:smallCaps/>
      <w:color w:val="0F4761" w:themeColor="accent1" w:themeShade="BF"/>
      <w:spacing w:val="5"/>
    </w:rPr>
  </w:style>
  <w:style w:type="character" w:styleId="Hyperlink">
    <w:name w:val="Hyperlink"/>
    <w:basedOn w:val="DefaultParagraphFont"/>
    <w:uiPriority w:val="99"/>
    <w:unhideWhenUsed/>
    <w:rsid w:val="00477EBF"/>
    <w:rPr>
      <w:color w:val="467886" w:themeColor="hyperlink"/>
      <w:u w:val="single"/>
    </w:rPr>
  </w:style>
  <w:style w:type="character" w:styleId="UnresolvedMention">
    <w:name w:val="Unresolved Mention"/>
    <w:basedOn w:val="DefaultParagraphFont"/>
    <w:uiPriority w:val="99"/>
    <w:semiHidden/>
    <w:unhideWhenUsed/>
    <w:rsid w:val="00477EBF"/>
    <w:rPr>
      <w:color w:val="605E5C"/>
      <w:shd w:val="clear" w:color="auto" w:fill="E1DFDD"/>
    </w:rPr>
  </w:style>
  <w:style w:type="character" w:styleId="FollowedHyperlink">
    <w:name w:val="FollowedHyperlink"/>
    <w:basedOn w:val="DefaultParagraphFont"/>
    <w:uiPriority w:val="99"/>
    <w:semiHidden/>
    <w:unhideWhenUsed/>
    <w:rsid w:val="00D15503"/>
    <w:rPr>
      <w:color w:val="96607D" w:themeColor="followedHyperlink"/>
      <w:u w:val="single"/>
    </w:rPr>
  </w:style>
  <w:style w:type="paragraph" w:styleId="NormalWeb">
    <w:name w:val="Normal (Web)"/>
    <w:basedOn w:val="Normal"/>
    <w:uiPriority w:val="99"/>
    <w:semiHidden/>
    <w:unhideWhenUsed/>
    <w:rsid w:val="00411CD6"/>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DD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553C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329285">
      <w:bodyDiv w:val="1"/>
      <w:marLeft w:val="0"/>
      <w:marRight w:val="0"/>
      <w:marTop w:val="0"/>
      <w:marBottom w:val="0"/>
      <w:divBdr>
        <w:top w:val="none" w:sz="0" w:space="0" w:color="auto"/>
        <w:left w:val="none" w:sz="0" w:space="0" w:color="auto"/>
        <w:bottom w:val="none" w:sz="0" w:space="0" w:color="auto"/>
        <w:right w:val="none" w:sz="0" w:space="0" w:color="auto"/>
      </w:divBdr>
    </w:div>
    <w:div w:id="190599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check-eligible-free-childcare-if-youre-work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tax-free-childcar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Brown</dc:creator>
  <cp:keywords/>
  <dc:description/>
  <cp:lastModifiedBy>Sarah Davies</cp:lastModifiedBy>
  <cp:revision>3</cp:revision>
  <cp:lastPrinted>2025-07-09T13:22:00Z</cp:lastPrinted>
  <dcterms:created xsi:type="dcterms:W3CDTF">2025-08-07T12:38:00Z</dcterms:created>
  <dcterms:modified xsi:type="dcterms:W3CDTF">2025-09-30T11:13:00Z</dcterms:modified>
</cp:coreProperties>
</file>